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rPr>
          <w:rFonts w:hint="default" w:ascii="黑体" w:hAnsi="黑体" w:eastAsia="黑体"/>
          <w:sz w:val="32"/>
          <w:szCs w:val="32"/>
          <w:lang w:val="en-US" w:eastAsia="zh-CN"/>
        </w:rPr>
      </w:pPr>
      <w:r>
        <w:rPr>
          <w:rFonts w:hint="eastAsia" w:ascii="黑体" w:hAnsi="黑体" w:eastAsia="黑体"/>
          <w:sz w:val="32"/>
          <w:szCs w:val="32"/>
          <w:lang w:val="en-US" w:eastAsia="zh-CN"/>
        </w:rPr>
        <w:t>附件2</w:t>
      </w:r>
    </w:p>
    <w:p>
      <w:pPr>
        <w:spacing w:line="600" w:lineRule="exact"/>
        <w:rPr>
          <w:rFonts w:ascii="黑体" w:hAnsi="黑体" w:eastAsia="黑体"/>
          <w:sz w:val="32"/>
          <w:szCs w:val="32"/>
        </w:rPr>
      </w:pPr>
    </w:p>
    <w:p>
      <w:pPr>
        <w:pStyle w:val="9"/>
        <w:numPr>
          <w:ilvl w:val="0"/>
          <w:numId w:val="0"/>
        </w:numPr>
        <w:spacing w:line="600" w:lineRule="exact"/>
        <w:jc w:val="center"/>
        <w:rPr>
          <w:rFonts w:hint="eastAsia" w:ascii="黑体" w:hAnsi="黑体" w:eastAsia="黑体"/>
          <w:sz w:val="32"/>
          <w:szCs w:val="32"/>
        </w:rPr>
      </w:pPr>
      <w:r>
        <w:rPr>
          <w:rFonts w:hint="eastAsia" w:ascii="方正小标宋简体" w:hAnsi="仿宋" w:eastAsia="方正小标宋简体" w:cs="Times New Roman"/>
          <w:color w:val="424242"/>
          <w:sz w:val="44"/>
          <w:szCs w:val="44"/>
          <w:shd w:val="clear" w:color="auto" w:fill="FFFFFF"/>
          <w:lang w:val="en-US" w:eastAsia="zh-CN"/>
        </w:rPr>
        <w:t>关于《中山市口腔种植类医疗服务价格项目定价方案</w:t>
      </w:r>
      <w:r>
        <w:rPr>
          <w:rFonts w:hint="eastAsia" w:ascii="方正小标宋简体" w:hAnsi="仿宋" w:eastAsia="方正小标宋简体" w:cs="Times New Roman"/>
          <w:color w:val="424242"/>
          <w:sz w:val="44"/>
          <w:szCs w:val="44"/>
          <w:shd w:val="clear" w:color="auto" w:fill="FFFFFF"/>
          <w:lang w:eastAsia="zh-CN"/>
        </w:rPr>
        <w:t>（征求意见稿）</w:t>
      </w:r>
      <w:r>
        <w:rPr>
          <w:rFonts w:hint="eastAsia" w:ascii="方正小标宋简体" w:hAnsi="仿宋" w:eastAsia="方正小标宋简体" w:cs="Times New Roman"/>
          <w:color w:val="424242"/>
          <w:sz w:val="44"/>
          <w:szCs w:val="44"/>
          <w:shd w:val="clear" w:color="auto" w:fill="FFFFFF"/>
          <w:lang w:val="en-US" w:eastAsia="zh-CN"/>
        </w:rPr>
        <w:t>》的起草说明</w:t>
      </w:r>
    </w:p>
    <w:p>
      <w:pPr>
        <w:pStyle w:val="9"/>
        <w:numPr>
          <w:ilvl w:val="0"/>
          <w:numId w:val="0"/>
        </w:numPr>
        <w:spacing w:line="600" w:lineRule="exact"/>
        <w:ind w:firstLine="640" w:firstLineChars="200"/>
        <w:rPr>
          <w:rFonts w:hint="eastAsia" w:ascii="黑体" w:hAnsi="黑体" w:eastAsia="黑体"/>
          <w:sz w:val="32"/>
          <w:szCs w:val="32"/>
          <w:lang w:eastAsia="zh-CN"/>
        </w:rPr>
      </w:pPr>
    </w:p>
    <w:p>
      <w:pPr>
        <w:pStyle w:val="9"/>
        <w:numPr>
          <w:ilvl w:val="0"/>
          <w:numId w:val="0"/>
        </w:numPr>
        <w:spacing w:line="600" w:lineRule="exact"/>
        <w:ind w:firstLine="640" w:firstLineChars="200"/>
        <w:rPr>
          <w:rFonts w:ascii="黑体" w:hAnsi="黑体" w:eastAsia="黑体"/>
          <w:sz w:val="32"/>
          <w:szCs w:val="32"/>
        </w:rPr>
      </w:pPr>
      <w:r>
        <w:rPr>
          <w:rFonts w:hint="eastAsia" w:ascii="黑体" w:hAnsi="黑体" w:eastAsia="黑体"/>
          <w:sz w:val="32"/>
          <w:szCs w:val="32"/>
          <w:lang w:eastAsia="zh-CN"/>
        </w:rPr>
        <w:t>一、拟定</w:t>
      </w:r>
      <w:r>
        <w:rPr>
          <w:rFonts w:hint="eastAsia" w:ascii="黑体" w:hAnsi="黑体" w:eastAsia="黑体"/>
          <w:sz w:val="32"/>
          <w:szCs w:val="32"/>
        </w:rPr>
        <w:t>背景</w:t>
      </w:r>
      <w:bookmarkStart w:id="0" w:name="_GoBack"/>
      <w:bookmarkEnd w:id="0"/>
    </w:p>
    <w:p>
      <w:pPr>
        <w:spacing w:line="600" w:lineRule="exact"/>
        <w:ind w:firstLine="640" w:firstLineChars="200"/>
        <w:jc w:val="left"/>
        <w:rPr>
          <w:rFonts w:hint="eastAsia" w:ascii="仿宋" w:hAnsi="仿宋" w:eastAsia="仿宋" w:cs="Times New Roman"/>
          <w:color w:val="424242"/>
          <w:sz w:val="32"/>
          <w:szCs w:val="32"/>
          <w:shd w:val="clear" w:color="auto" w:fill="FFFFFF"/>
          <w:lang w:eastAsia="zh-CN"/>
        </w:rPr>
      </w:pPr>
      <w:r>
        <w:rPr>
          <w:rFonts w:hint="eastAsia" w:ascii="仿宋" w:hAnsi="仿宋" w:eastAsia="仿宋" w:cs="仿宋_GB2312"/>
          <w:sz w:val="32"/>
          <w:szCs w:val="32"/>
          <w:lang w:eastAsia="zh-CN"/>
        </w:rPr>
        <w:t>2022年1月，国务院常务会议决定，逐步扩大高值医用耗材集采覆盖面，明确要求将群众关注的种植牙纳入集采范围。</w:t>
      </w:r>
      <w:r>
        <w:rPr>
          <w:rFonts w:hint="eastAsia" w:ascii="仿宋" w:hAnsi="仿宋" w:eastAsia="仿宋" w:cs="仿宋_GB2312"/>
          <w:sz w:val="32"/>
          <w:szCs w:val="32"/>
          <w:lang w:val="en-US" w:eastAsia="zh-CN"/>
        </w:rPr>
        <w:t>2022年9月8日，</w:t>
      </w:r>
      <w:r>
        <w:rPr>
          <w:rFonts w:hint="eastAsia" w:ascii="仿宋" w:hAnsi="仿宋" w:eastAsia="仿宋" w:cs="仿宋_GB2312"/>
          <w:sz w:val="32"/>
          <w:szCs w:val="32"/>
          <w:lang w:eastAsia="zh-CN"/>
        </w:rPr>
        <w:t>国家医保局印发《国家医疗保障局关于开展口腔种植医疗服务收费和耗材价格专项治理的通知》（医保发</w:t>
      </w:r>
      <w:r>
        <w:rPr>
          <w:rFonts w:ascii="仿宋" w:hAnsi="仿宋" w:eastAsia="仿宋" w:cs="Times New Roman"/>
          <w:sz w:val="32"/>
          <w:szCs w:val="32"/>
        </w:rPr>
        <w:t>〔202</w:t>
      </w:r>
      <w:r>
        <w:rPr>
          <w:rFonts w:hint="eastAsia" w:ascii="仿宋" w:hAnsi="仿宋" w:eastAsia="仿宋" w:cs="Times New Roman"/>
          <w:sz w:val="32"/>
          <w:szCs w:val="32"/>
          <w:lang w:val="en-US" w:eastAsia="zh-CN"/>
        </w:rPr>
        <w:t>2</w:t>
      </w:r>
      <w:r>
        <w:rPr>
          <w:rFonts w:ascii="仿宋" w:hAnsi="仿宋" w:eastAsia="仿宋" w:cs="Times New Roman"/>
          <w:sz w:val="32"/>
          <w:szCs w:val="32"/>
        </w:rPr>
        <w:t>〕</w:t>
      </w:r>
      <w:r>
        <w:rPr>
          <w:rFonts w:hint="eastAsia" w:ascii="仿宋" w:hAnsi="仿宋" w:eastAsia="仿宋" w:cs="Times New Roman"/>
          <w:sz w:val="32"/>
          <w:szCs w:val="32"/>
          <w:lang w:val="en-US" w:eastAsia="zh-CN"/>
        </w:rPr>
        <w:t>27</w:t>
      </w:r>
      <w:r>
        <w:rPr>
          <w:rFonts w:ascii="仿宋" w:hAnsi="仿宋" w:eastAsia="仿宋" w:cs="Times New Roman"/>
          <w:sz w:val="32"/>
          <w:szCs w:val="32"/>
        </w:rPr>
        <w:t>号</w:t>
      </w:r>
      <w:r>
        <w:rPr>
          <w:rFonts w:hint="eastAsia" w:ascii="仿宋" w:hAnsi="仿宋" w:eastAsia="仿宋" w:cs="仿宋_GB2312"/>
          <w:sz w:val="32"/>
          <w:szCs w:val="32"/>
          <w:lang w:eastAsia="zh-CN"/>
        </w:rPr>
        <w:t>），要求开展全面覆盖公立和民营医疗机构的口腔种植价格专项治理工作，这项工作的主要目的就是把过高的种植牙费用降下来，让有种植牙需求的老百姓有更多机会享受到“实惠医疗”。让名目众多、雾里看花的种植牙收费规范化、透明化，逐步实现更好评价、更好计价、更好监督的“阳光医疗”。</w:t>
      </w:r>
    </w:p>
    <w:p>
      <w:pPr>
        <w:numPr>
          <w:ilvl w:val="0"/>
          <w:numId w:val="1"/>
        </w:numPr>
        <w:spacing w:line="600" w:lineRule="exact"/>
        <w:ind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整合优化口腔种植类项目的原则方法</w:t>
      </w:r>
    </w:p>
    <w:p>
      <w:pPr>
        <w:numPr>
          <w:ilvl w:val="0"/>
          <w:numId w:val="0"/>
        </w:numPr>
        <w:spacing w:line="600" w:lineRule="exact"/>
        <w:rPr>
          <w:rFonts w:hint="default" w:ascii="黑体" w:hAnsi="黑体" w:eastAsia="黑体"/>
          <w:sz w:val="32"/>
          <w:szCs w:val="32"/>
          <w:lang w:val="en-US" w:eastAsia="zh-CN"/>
        </w:rPr>
      </w:pPr>
      <w:r>
        <w:rPr>
          <w:rFonts w:hint="eastAsia" w:ascii="黑体" w:hAnsi="黑体" w:eastAsia="黑体"/>
          <w:sz w:val="32"/>
          <w:szCs w:val="32"/>
          <w:lang w:val="en-US" w:eastAsia="zh-CN"/>
        </w:rPr>
        <w:t xml:space="preserve">   </w:t>
      </w:r>
      <w:r>
        <w:rPr>
          <w:rFonts w:hint="eastAsia" w:ascii="仿宋" w:hAnsi="仿宋" w:eastAsia="仿宋" w:cs="仿宋_GB2312"/>
          <w:sz w:val="32"/>
          <w:szCs w:val="32"/>
          <w:lang w:val="en-US" w:eastAsia="zh-CN"/>
        </w:rPr>
        <w:t xml:space="preserve"> 根据国家医保局《口腔种植类医疗服务价格项目立项指南》要求，广东省医保局经多次组织专家论证，将我省现行的口腔种植类医疗服务项目整合修订为15个主项目，将立项指南中“服务产出”、“价格构成”要素的内容纳入省项目的“项目内涵”，将“种植体即刻种植”等13个“加收”“减收”要素作为下设子项目，项目名称、计价单位、计价说明均于立项指南一致。清理废止原省医疗服务价格项目中不再使用和重复的15个项目。</w:t>
      </w:r>
      <w:r>
        <w:rPr>
          <w:rFonts w:hint="eastAsia" w:ascii="黑体" w:hAnsi="黑体" w:eastAsia="黑体"/>
          <w:sz w:val="32"/>
          <w:szCs w:val="32"/>
          <w:lang w:val="en-US" w:eastAsia="zh-CN"/>
        </w:rPr>
        <w:t xml:space="preserve">    </w:t>
      </w:r>
    </w:p>
    <w:p>
      <w:pPr>
        <w:pStyle w:val="9"/>
        <w:numPr>
          <w:ilvl w:val="0"/>
          <w:numId w:val="1"/>
        </w:numPr>
        <w:spacing w:line="600" w:lineRule="exact"/>
        <w:ind w:left="0" w:leftChars="0"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制定我市口腔种植类医疗服务项目价格</w:t>
      </w:r>
    </w:p>
    <w:p>
      <w:pPr>
        <w:pStyle w:val="9"/>
        <w:numPr>
          <w:ilvl w:val="0"/>
          <w:numId w:val="0"/>
        </w:numPr>
        <w:spacing w:line="600" w:lineRule="exact"/>
        <w:ind w:firstLine="640" w:firstLineChars="200"/>
        <w:rPr>
          <w:rFonts w:hint="default" w:ascii="黑体" w:hAnsi="黑体" w:eastAsia="仿宋"/>
          <w:sz w:val="32"/>
          <w:szCs w:val="32"/>
          <w:lang w:val="en-US" w:eastAsia="zh-CN"/>
        </w:rPr>
      </w:pPr>
      <w:r>
        <w:rPr>
          <w:rFonts w:hint="eastAsia" w:ascii="仿宋" w:hAnsi="仿宋" w:eastAsia="仿宋" w:cs="仿宋_GB2312"/>
          <w:kern w:val="2"/>
          <w:sz w:val="32"/>
          <w:szCs w:val="32"/>
          <w:lang w:val="en-US" w:eastAsia="zh-CN" w:bidi="ar-SA"/>
        </w:rPr>
        <w:t>2022年，省医保局在全省范围内开展口腔种植类项目价格和成本调查，并经多次专家论证，最终拟定15个口腔种植类医疗服务主项目价格，作为全省基准价。综合考虑我市经济发展水平、患者承受能力,并体现医务人员技术劳务价值等因素，我市以省公布的政府指导价（即基准价）为三级医疗机构价格标准，二级、一级价格按照我市规定的医疗机构级别价差相应下浮8%、13%。</w:t>
      </w:r>
    </w:p>
    <w:p>
      <w:pPr>
        <w:pStyle w:val="9"/>
        <w:numPr>
          <w:ilvl w:val="0"/>
          <w:numId w:val="1"/>
        </w:numPr>
        <w:spacing w:line="600" w:lineRule="exact"/>
        <w:ind w:left="0" w:leftChars="0" w:firstLine="640" w:firstLineChars="200"/>
        <w:rPr>
          <w:rFonts w:hint="eastAsia" w:ascii="黑体" w:hAnsi="黑体" w:eastAsia="黑体"/>
          <w:sz w:val="32"/>
          <w:szCs w:val="32"/>
          <w:lang w:eastAsia="zh-CN"/>
        </w:rPr>
      </w:pPr>
      <w:r>
        <w:rPr>
          <w:rFonts w:hint="eastAsia" w:ascii="黑体" w:hAnsi="黑体" w:eastAsia="黑体"/>
          <w:sz w:val="32"/>
          <w:szCs w:val="32"/>
          <w:lang w:eastAsia="zh-CN"/>
        </w:rPr>
        <w:t>确定单颗常规种植牙全流程调控总价</w:t>
      </w:r>
    </w:p>
    <w:p>
      <w:pPr>
        <w:pStyle w:val="9"/>
        <w:numPr>
          <w:ilvl w:val="0"/>
          <w:numId w:val="0"/>
        </w:numPr>
        <w:spacing w:line="600" w:lineRule="exact"/>
        <w:ind w:firstLine="640" w:firstLineChars="200"/>
        <w:rPr>
          <w:rFonts w:hint="default" w:ascii="仿宋" w:hAnsi="仿宋" w:eastAsia="仿宋"/>
          <w:sz w:val="32"/>
          <w:szCs w:val="32"/>
          <w:lang w:val="en-US"/>
        </w:rPr>
      </w:pPr>
      <w:r>
        <w:rPr>
          <w:rFonts w:hint="eastAsia" w:ascii="仿宋" w:hAnsi="仿宋" w:eastAsia="仿宋" w:cs="仿宋_GB2312"/>
          <w:kern w:val="2"/>
          <w:sz w:val="32"/>
          <w:szCs w:val="32"/>
          <w:lang w:val="en-US" w:eastAsia="zh-CN" w:bidi="ar-SA"/>
        </w:rPr>
        <w:t>按照国家医保局相关规定，各级医疗保障部门</w:t>
      </w:r>
      <w:r>
        <w:rPr>
          <w:rFonts w:hint="eastAsia" w:ascii="仿宋" w:hAnsi="仿宋" w:eastAsia="仿宋"/>
          <w:sz w:val="32"/>
          <w:szCs w:val="32"/>
          <w:lang w:eastAsia="zh-CN"/>
        </w:rPr>
        <w:t>以单颗常规种植牙的医疗服务价格为重点，按照“诊查检查</w:t>
      </w:r>
      <w:r>
        <w:rPr>
          <w:rFonts w:hint="eastAsia" w:ascii="仿宋" w:hAnsi="仿宋" w:eastAsia="仿宋"/>
          <w:sz w:val="32"/>
          <w:szCs w:val="32"/>
          <w:lang w:val="en-US" w:eastAsia="zh-CN"/>
        </w:rPr>
        <w:t>+种植体植入+牙冠置入</w:t>
      </w:r>
      <w:r>
        <w:rPr>
          <w:rFonts w:hint="eastAsia" w:ascii="仿宋" w:hAnsi="仿宋" w:eastAsia="仿宋"/>
          <w:sz w:val="32"/>
          <w:szCs w:val="32"/>
          <w:lang w:eastAsia="zh-CN"/>
        </w:rPr>
        <w:t>”的医疗服务价格实施整体调控。按照省文件规定，</w:t>
      </w:r>
      <w:r>
        <w:rPr>
          <w:rFonts w:hint="eastAsia" w:ascii="仿宋" w:hAnsi="仿宋" w:eastAsia="仿宋" w:cs="仿宋_GB2312"/>
          <w:kern w:val="2"/>
          <w:sz w:val="32"/>
          <w:szCs w:val="32"/>
          <w:lang w:val="en-US" w:eastAsia="zh-CN" w:bidi="ar-SA"/>
        </w:rPr>
        <w:t>将全省21个地市分为3个价区，</w:t>
      </w:r>
      <w:r>
        <w:rPr>
          <w:rFonts w:hint="eastAsia" w:ascii="仿宋" w:hAnsi="仿宋" w:eastAsia="仿宋"/>
          <w:sz w:val="32"/>
          <w:szCs w:val="32"/>
          <w:lang w:eastAsia="zh-CN"/>
        </w:rPr>
        <w:t>我市属于第二价区，三级公立医院的</w:t>
      </w:r>
      <w:r>
        <w:rPr>
          <w:rFonts w:hint="eastAsia" w:ascii="仿宋" w:hAnsi="仿宋" w:eastAsia="仿宋"/>
          <w:sz w:val="32"/>
          <w:szCs w:val="32"/>
          <w:lang w:val="en-US" w:eastAsia="zh-CN"/>
        </w:rPr>
        <w:t>单颗常规种植牙全流程调控总价为4320元，</w:t>
      </w:r>
      <w:r>
        <w:rPr>
          <w:rFonts w:hint="eastAsia" w:ascii="Times New Roman" w:hAnsi="Times New Roman" w:eastAsia="仿宋_GB2312" w:cs="Nimbus Roman"/>
          <w:i w:val="0"/>
          <w:caps w:val="0"/>
          <w:color w:val="000000"/>
          <w:spacing w:val="0"/>
          <w:sz w:val="32"/>
          <w:szCs w:val="32"/>
          <w:u w:val="none"/>
          <w:shd w:val="clear" w:color="auto" w:fill="FFFFFF"/>
          <w:lang w:val="en-US" w:eastAsia="zh-CN"/>
        </w:rPr>
        <w:t>包括</w:t>
      </w:r>
      <w:r>
        <w:rPr>
          <w:rFonts w:hint="default" w:ascii="Times New Roman" w:hAnsi="Times New Roman" w:eastAsia="仿宋_GB2312" w:cs="Nimbus Roman"/>
          <w:i w:val="0"/>
          <w:caps w:val="0"/>
          <w:color w:val="000000"/>
          <w:spacing w:val="0"/>
          <w:sz w:val="32"/>
          <w:szCs w:val="32"/>
          <w:u w:val="none"/>
          <w:shd w:val="clear" w:color="auto" w:fill="FFFFFF"/>
          <w:lang w:val="en-US" w:eastAsia="zh-CN"/>
        </w:rPr>
        <w:t>门诊诊查、生化检验和影像检查、种植体植入、牙冠置入等医疗服务价格的总和，不含种植体和牙冠</w:t>
      </w:r>
      <w:r>
        <w:rPr>
          <w:rFonts w:hint="eastAsia" w:ascii="Times New Roman" w:hAnsi="Times New Roman" w:eastAsia="仿宋_GB2312" w:cs="Nimbus Roman"/>
          <w:i w:val="0"/>
          <w:caps w:val="0"/>
          <w:color w:val="000000"/>
          <w:spacing w:val="0"/>
          <w:sz w:val="32"/>
          <w:szCs w:val="32"/>
          <w:u w:val="none"/>
          <w:shd w:val="clear" w:color="auto" w:fill="FFFFFF"/>
          <w:lang w:val="en-US" w:eastAsia="zh-CN"/>
        </w:rPr>
        <w:t>等。通过全流程调控并开展口腔种植体集采，可有效降低种植牙总费用。</w:t>
      </w:r>
    </w:p>
    <w:p>
      <w:pPr>
        <w:spacing w:line="600" w:lineRule="exact"/>
        <w:ind w:firstLine="640" w:firstLineChars="200"/>
        <w:rPr>
          <w:rFonts w:ascii="仿宋" w:hAnsi="仿宋" w:eastAsia="仿宋"/>
          <w:sz w:val="32"/>
          <w:szCs w:val="32"/>
        </w:rPr>
      </w:pPr>
    </w:p>
    <w:p>
      <w:pPr>
        <w:spacing w:line="600" w:lineRule="exact"/>
        <w:ind w:firstLine="640" w:firstLineChars="200"/>
        <w:rPr>
          <w:rFonts w:ascii="仿宋" w:hAnsi="仿宋" w:eastAsia="仿宋"/>
          <w:sz w:val="32"/>
          <w:szCs w:val="32"/>
        </w:rPr>
      </w:pPr>
      <w:r>
        <w:rPr>
          <w:rFonts w:hint="eastAsia" w:ascii="仿宋" w:hAnsi="仿宋" w:eastAsia="仿宋"/>
          <w:sz w:val="32"/>
          <w:szCs w:val="32"/>
        </w:rPr>
        <w:t xml:space="preserve">                           </w:t>
      </w:r>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Nimbus Roman">
    <w:altName w:val="Segoe Print"/>
    <w:panose1 w:val="00000500000000000000"/>
    <w:charset w:val="00"/>
    <w:family w:val="auto"/>
    <w:pitch w:val="default"/>
    <w:sig w:usb0="00000000" w:usb1="00000000" w:usb2="00000000" w:usb3="00000000" w:csb0="6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5876641"/>
      <w:docPartObj>
        <w:docPartGallery w:val="autotext"/>
      </w:docPartObj>
    </w:sdtPr>
    <w:sdtContent>
      <w:p>
        <w:pPr>
          <w:pStyle w:val="2"/>
          <w:jc w:val="center"/>
        </w:pPr>
        <w:r>
          <w:fldChar w:fldCharType="begin"/>
        </w:r>
        <w:r>
          <w:instrText xml:space="preserve"> PAGE   \* MERGEFORMAT </w:instrText>
        </w:r>
        <w:r>
          <w:fldChar w:fldCharType="separate"/>
        </w:r>
        <w:r>
          <w:rPr>
            <w:lang w:val="zh-CN"/>
          </w:rPr>
          <w:t>5</w:t>
        </w:r>
        <w:r>
          <w:rPr>
            <w:lang w:val="zh-CN"/>
          </w:rPr>
          <w:fldChar w:fldCharType="end"/>
        </w:r>
      </w:p>
    </w:sdtContent>
  </w:sdt>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5D33A8F8"/>
    <w:multiLevelType w:val="singleLevel"/>
    <w:tmpl w:val="5D33A8F8"/>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D828DC"/>
    <w:rsid w:val="00026F6F"/>
    <w:rsid w:val="00030466"/>
    <w:rsid w:val="000B6B97"/>
    <w:rsid w:val="000E0AEF"/>
    <w:rsid w:val="000E4C19"/>
    <w:rsid w:val="000F45B5"/>
    <w:rsid w:val="000F7289"/>
    <w:rsid w:val="00102ACC"/>
    <w:rsid w:val="001120D2"/>
    <w:rsid w:val="00114E72"/>
    <w:rsid w:val="00136EC3"/>
    <w:rsid w:val="0014479B"/>
    <w:rsid w:val="001625B4"/>
    <w:rsid w:val="00190798"/>
    <w:rsid w:val="00191725"/>
    <w:rsid w:val="001925D3"/>
    <w:rsid w:val="001B0026"/>
    <w:rsid w:val="001E0513"/>
    <w:rsid w:val="001E112A"/>
    <w:rsid w:val="00226E05"/>
    <w:rsid w:val="00235CE9"/>
    <w:rsid w:val="002861A5"/>
    <w:rsid w:val="002E7133"/>
    <w:rsid w:val="00312E07"/>
    <w:rsid w:val="00327AEE"/>
    <w:rsid w:val="00356D0F"/>
    <w:rsid w:val="00361418"/>
    <w:rsid w:val="003B0861"/>
    <w:rsid w:val="003C234F"/>
    <w:rsid w:val="00446016"/>
    <w:rsid w:val="0046282F"/>
    <w:rsid w:val="004972E4"/>
    <w:rsid w:val="00501BE9"/>
    <w:rsid w:val="00522B3A"/>
    <w:rsid w:val="0055011F"/>
    <w:rsid w:val="005D0588"/>
    <w:rsid w:val="005D7B06"/>
    <w:rsid w:val="005E104A"/>
    <w:rsid w:val="00634CD4"/>
    <w:rsid w:val="00635B43"/>
    <w:rsid w:val="006746B0"/>
    <w:rsid w:val="00692D56"/>
    <w:rsid w:val="006A4C30"/>
    <w:rsid w:val="006C2084"/>
    <w:rsid w:val="00717D6C"/>
    <w:rsid w:val="007204B7"/>
    <w:rsid w:val="00772A45"/>
    <w:rsid w:val="0077382F"/>
    <w:rsid w:val="00783841"/>
    <w:rsid w:val="007B2461"/>
    <w:rsid w:val="007F3AB0"/>
    <w:rsid w:val="00811353"/>
    <w:rsid w:val="00831CB3"/>
    <w:rsid w:val="00890186"/>
    <w:rsid w:val="008C1A1E"/>
    <w:rsid w:val="009129FE"/>
    <w:rsid w:val="00927AFA"/>
    <w:rsid w:val="009726A0"/>
    <w:rsid w:val="009B736A"/>
    <w:rsid w:val="009C1AB9"/>
    <w:rsid w:val="009C22BC"/>
    <w:rsid w:val="009D1390"/>
    <w:rsid w:val="00A25CDB"/>
    <w:rsid w:val="00A650DA"/>
    <w:rsid w:val="00AB0CC6"/>
    <w:rsid w:val="00B10DB6"/>
    <w:rsid w:val="00B36AD4"/>
    <w:rsid w:val="00B668A9"/>
    <w:rsid w:val="00BD3675"/>
    <w:rsid w:val="00BE5DD1"/>
    <w:rsid w:val="00C45727"/>
    <w:rsid w:val="00CC0523"/>
    <w:rsid w:val="00CD1EC3"/>
    <w:rsid w:val="00CE5C4A"/>
    <w:rsid w:val="00CE76C3"/>
    <w:rsid w:val="00CF2B23"/>
    <w:rsid w:val="00D2523D"/>
    <w:rsid w:val="00D6154E"/>
    <w:rsid w:val="00D61A74"/>
    <w:rsid w:val="00D828DC"/>
    <w:rsid w:val="00E229D1"/>
    <w:rsid w:val="00E42756"/>
    <w:rsid w:val="00EE4176"/>
    <w:rsid w:val="00EE606A"/>
    <w:rsid w:val="00F069E3"/>
    <w:rsid w:val="00F25BD7"/>
    <w:rsid w:val="00F26CDF"/>
    <w:rsid w:val="00FA4609"/>
    <w:rsid w:val="00FB0599"/>
    <w:rsid w:val="018C5205"/>
    <w:rsid w:val="025E4644"/>
    <w:rsid w:val="04054A2F"/>
    <w:rsid w:val="0B2E1910"/>
    <w:rsid w:val="0D1E551C"/>
    <w:rsid w:val="0F473084"/>
    <w:rsid w:val="11200DD5"/>
    <w:rsid w:val="16C7070B"/>
    <w:rsid w:val="195B34BE"/>
    <w:rsid w:val="1C6053E0"/>
    <w:rsid w:val="207A1C88"/>
    <w:rsid w:val="27D0085D"/>
    <w:rsid w:val="30981155"/>
    <w:rsid w:val="314302E8"/>
    <w:rsid w:val="38623B4E"/>
    <w:rsid w:val="45FD1E94"/>
    <w:rsid w:val="4BC618DC"/>
    <w:rsid w:val="4DEF141F"/>
    <w:rsid w:val="4ED62B82"/>
    <w:rsid w:val="529C769B"/>
    <w:rsid w:val="55176573"/>
    <w:rsid w:val="553C6138"/>
    <w:rsid w:val="56AA4043"/>
    <w:rsid w:val="5AE852C9"/>
    <w:rsid w:val="5C7F231B"/>
    <w:rsid w:val="68FC0791"/>
    <w:rsid w:val="6A5410DE"/>
    <w:rsid w:val="706B1C95"/>
    <w:rsid w:val="71474041"/>
    <w:rsid w:val="73414465"/>
    <w:rsid w:val="74531C75"/>
    <w:rsid w:val="764864EC"/>
    <w:rsid w:val="766C1DC4"/>
    <w:rsid w:val="79006F04"/>
    <w:rsid w:val="7AAA0F09"/>
    <w:rsid w:val="7C2B60D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6">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8"/>
    <w:unhideWhenUsed/>
    <w:qFormat/>
    <w:uiPriority w:val="99"/>
    <w:pPr>
      <w:tabs>
        <w:tab w:val="center" w:pos="4153"/>
        <w:tab w:val="right" w:pos="8306"/>
      </w:tabs>
      <w:snapToGrid w:val="0"/>
      <w:jc w:val="left"/>
    </w:pPr>
    <w:rPr>
      <w:sz w:val="18"/>
      <w:szCs w:val="18"/>
    </w:rPr>
  </w:style>
  <w:style w:type="paragraph" w:styleId="3">
    <w:name w:val="header"/>
    <w:basedOn w:val="1"/>
    <w:link w:val="7"/>
    <w:semiHidden/>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qFormat/>
    <w:uiPriority w:val="0"/>
    <w:pPr>
      <w:spacing w:before="100" w:beforeAutospacing="1" w:after="100" w:afterAutospacing="1"/>
      <w:jc w:val="left"/>
    </w:pPr>
    <w:rPr>
      <w:rFonts w:cs="Times New Roman"/>
      <w:kern w:val="0"/>
      <w:sz w:val="24"/>
    </w:rPr>
  </w:style>
  <w:style w:type="character" w:customStyle="1" w:styleId="7">
    <w:name w:val="页眉 Char"/>
    <w:basedOn w:val="6"/>
    <w:link w:val="3"/>
    <w:semiHidden/>
    <w:qFormat/>
    <w:uiPriority w:val="99"/>
    <w:rPr>
      <w:sz w:val="18"/>
      <w:szCs w:val="18"/>
    </w:rPr>
  </w:style>
  <w:style w:type="character" w:customStyle="1" w:styleId="8">
    <w:name w:val="页脚 Char"/>
    <w:basedOn w:val="6"/>
    <w:link w:val="2"/>
    <w:qFormat/>
    <w:uiPriority w:val="99"/>
    <w:rPr>
      <w:sz w:val="18"/>
      <w:szCs w:val="18"/>
    </w:rPr>
  </w:style>
  <w:style w:type="paragraph" w:styleId="9">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5</Pages>
  <Words>358</Words>
  <Characters>2046</Characters>
  <Lines>17</Lines>
  <Paragraphs>4</Paragraphs>
  <TotalTime>0</TotalTime>
  <ScaleCrop>false</ScaleCrop>
  <LinksUpToDate>false</LinksUpToDate>
  <CharactersWithSpaces>2400</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2021-06-09T01:46:00Z</dcterms:created>
  <dc:creator>罗容涛</dc:creator>
  <cp:lastModifiedBy>欧泽鹏</cp:lastModifiedBy>
  <cp:lastPrinted>2021-06-11T01:21:00Z</cp:lastPrinted>
  <dcterms:modified xsi:type="dcterms:W3CDTF">2023-01-30T14:16:28Z</dcterms:modified>
  <dc:title>附件2</dc:title>
  <cp:revision>13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y fmtid="{D5CDD505-2E9C-101B-9397-08002B2CF9AE}" pid="3" name="ICV">
    <vt:lpwstr>7E843A177A6C41FA8C673B19E9FB84C9</vt:lpwstr>
  </property>
</Properties>
</file>