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C0CA2">
      <w:pPr>
        <w:widowControl/>
        <w:adjustRightInd w:val="0"/>
        <w:snapToGrid w:val="0"/>
        <w:spacing w:line="240" w:lineRule="atLeast"/>
        <w:jc w:val="left"/>
        <w:rPr>
          <w:rFonts w:ascii="黑体" w:hAnsi="黑体" w:eastAsia="黑体" w:cs="黑体"/>
          <w:kern w:val="0"/>
          <w:sz w:val="32"/>
          <w:szCs w:val="32"/>
        </w:rPr>
      </w:pPr>
      <w:r>
        <w:rPr>
          <w:rFonts w:hint="eastAsia" w:ascii="黑体" w:hAnsi="黑体" w:eastAsia="黑体" w:cs="黑体"/>
          <w:kern w:val="0"/>
          <w:sz w:val="32"/>
          <w:szCs w:val="32"/>
        </w:rPr>
        <w:t>附件2：</w:t>
      </w:r>
    </w:p>
    <w:p w14:paraId="3C0C457A">
      <w:pPr>
        <w:widowControl/>
        <w:adjustRightInd w:val="0"/>
        <w:snapToGrid w:val="0"/>
        <w:spacing w:line="240" w:lineRule="atLeast"/>
        <w:jc w:val="left"/>
        <w:rPr>
          <w:rFonts w:ascii="黑体" w:hAnsi="黑体" w:eastAsia="黑体" w:cs="黑体"/>
          <w:kern w:val="0"/>
          <w:sz w:val="32"/>
          <w:szCs w:val="32"/>
        </w:rPr>
      </w:pPr>
    </w:p>
    <w:p w14:paraId="3526D269">
      <w:pPr>
        <w:widowControl/>
        <w:adjustRightInd w:val="0"/>
        <w:snapToGrid w:val="0"/>
        <w:spacing w:line="240" w:lineRule="atLeast"/>
        <w:jc w:val="center"/>
        <w:rPr>
          <w:rFonts w:ascii="方正小标宋简体" w:hAnsi="宋体" w:eastAsia="方正小标宋简体"/>
          <w:kern w:val="0"/>
          <w:sz w:val="36"/>
          <w:szCs w:val="36"/>
        </w:rPr>
      </w:pPr>
      <w:r>
        <w:rPr>
          <w:rFonts w:hint="eastAsia" w:ascii="仿宋" w:hAnsi="仿宋" w:eastAsia="仿宋" w:cs="仿宋"/>
          <w:b/>
          <w:bCs/>
          <w:kern w:val="0"/>
          <w:sz w:val="36"/>
          <w:szCs w:val="36"/>
        </w:rPr>
        <w:t>中山市“双通道”定点零售药店承诺书</w:t>
      </w:r>
    </w:p>
    <w:p w14:paraId="5E820C69">
      <w:pPr>
        <w:spacing w:line="560" w:lineRule="exact"/>
        <w:rPr>
          <w:rFonts w:eastAsia="仿宋_GB2312" w:cs="仿宋_GB2312"/>
          <w:sz w:val="32"/>
          <w:szCs w:val="32"/>
        </w:rPr>
      </w:pPr>
    </w:p>
    <w:p w14:paraId="74DA33AD">
      <w:pPr>
        <w:spacing w:line="440" w:lineRule="exact"/>
        <w:rPr>
          <w:rFonts w:eastAsia="仿宋_GB2312" w:cs="仿宋_GB2312"/>
          <w:sz w:val="32"/>
          <w:szCs w:val="32"/>
        </w:rPr>
      </w:pPr>
      <w:r>
        <w:rPr>
          <w:rFonts w:hint="eastAsia" w:eastAsia="仿宋_GB2312" w:cs="仿宋_GB2312"/>
          <w:sz w:val="32"/>
          <w:szCs w:val="32"/>
        </w:rPr>
        <w:t>中山市医疗保障事业管理中心：</w:t>
      </w:r>
    </w:p>
    <w:p w14:paraId="6F63E0B0">
      <w:pPr>
        <w:spacing w:line="440" w:lineRule="exact"/>
        <w:ind w:firstLine="640" w:firstLineChars="200"/>
        <w:rPr>
          <w:rFonts w:eastAsia="仿宋_GB2312" w:cs="仿宋_GB2312"/>
          <w:sz w:val="32"/>
          <w:szCs w:val="32"/>
        </w:rPr>
      </w:pPr>
      <w:r>
        <w:rPr>
          <w:rFonts w:hint="eastAsia" w:eastAsia="仿宋_GB2312" w:cs="仿宋_GB2312"/>
          <w:sz w:val="32"/>
          <w:szCs w:val="32"/>
        </w:rPr>
        <w:t>本单位</w:t>
      </w:r>
      <w:r>
        <w:rPr>
          <w:rFonts w:hint="eastAsia" w:eastAsia="仿宋_GB2312" w:cs="仿宋_GB2312"/>
          <w:sz w:val="32"/>
          <w:szCs w:val="32"/>
          <w:lang w:eastAsia="zh-CN"/>
        </w:rPr>
        <w:t>（单位名称：__________________，统一社会信用代码：____________________）</w:t>
      </w:r>
      <w:r>
        <w:rPr>
          <w:rFonts w:hint="eastAsia" w:eastAsia="仿宋_GB2312" w:cs="仿宋_GB2312"/>
          <w:sz w:val="32"/>
          <w:szCs w:val="32"/>
        </w:rPr>
        <w:t>自愿申请报名参加中山市“双通道”定点零售药店遴选，严格遵守本次公开遴选程序，</w:t>
      </w:r>
      <w:r>
        <w:rPr>
          <w:rFonts w:hint="eastAsia" w:eastAsia="仿宋_GB2312" w:cs="仿宋_GB2312"/>
          <w:sz w:val="32"/>
          <w:szCs w:val="32"/>
          <w:lang w:val="en-US" w:eastAsia="zh-CN"/>
        </w:rPr>
        <w:t>现</w:t>
      </w:r>
      <w:r>
        <w:rPr>
          <w:rFonts w:hint="eastAsia" w:eastAsia="仿宋_GB2312" w:cs="仿宋_GB2312"/>
          <w:sz w:val="32"/>
          <w:szCs w:val="32"/>
        </w:rPr>
        <w:t>郑重承诺</w:t>
      </w:r>
      <w:r>
        <w:rPr>
          <w:rFonts w:hint="eastAsia" w:eastAsia="仿宋_GB2312" w:cs="仿宋_GB2312"/>
          <w:sz w:val="32"/>
          <w:szCs w:val="32"/>
          <w:lang w:val="en-US" w:eastAsia="zh-CN"/>
        </w:rPr>
        <w:t>如下</w:t>
      </w:r>
      <w:r>
        <w:rPr>
          <w:rFonts w:hint="eastAsia" w:eastAsia="仿宋_GB2312" w:cs="仿宋_GB2312"/>
          <w:sz w:val="32"/>
          <w:szCs w:val="32"/>
        </w:rPr>
        <w:t>：</w:t>
      </w:r>
    </w:p>
    <w:p w14:paraId="3921975B">
      <w:pPr>
        <w:spacing w:line="440" w:lineRule="exact"/>
        <w:ind w:firstLine="640" w:firstLineChars="200"/>
        <w:rPr>
          <w:rFonts w:eastAsia="仿宋_GB2312" w:cs="仿宋_GB2312"/>
          <w:sz w:val="32"/>
          <w:szCs w:val="32"/>
        </w:rPr>
      </w:pPr>
      <w:r>
        <w:rPr>
          <w:rFonts w:hint="eastAsia" w:eastAsia="仿宋_GB2312" w:cs="仿宋_GB2312"/>
          <w:sz w:val="32"/>
          <w:szCs w:val="32"/>
        </w:rPr>
        <w:t>一、</w:t>
      </w:r>
      <w:r>
        <w:rPr>
          <w:rFonts w:hint="eastAsia" w:eastAsia="仿宋_GB2312" w:cs="仿宋_GB2312"/>
          <w:sz w:val="32"/>
          <w:szCs w:val="32"/>
          <w:lang w:val="en-US" w:eastAsia="zh-CN"/>
        </w:rPr>
        <w:t>严格</w:t>
      </w:r>
      <w:r>
        <w:rPr>
          <w:rFonts w:hint="eastAsia" w:eastAsia="仿宋_GB2312" w:cs="仿宋_GB2312"/>
          <w:sz w:val="32"/>
          <w:szCs w:val="32"/>
        </w:rPr>
        <w:t>遵守《中华人民共和国药品管理法》《中华人民共和国社会保险法》等</w:t>
      </w:r>
      <w:r>
        <w:rPr>
          <w:rFonts w:hint="eastAsia" w:eastAsia="仿宋_GB2312" w:cs="仿宋_GB2312"/>
          <w:sz w:val="32"/>
          <w:szCs w:val="32"/>
          <w:lang w:val="en-US" w:eastAsia="zh-CN"/>
        </w:rPr>
        <w:t>相</w:t>
      </w:r>
      <w:r>
        <w:rPr>
          <w:rFonts w:hint="eastAsia" w:eastAsia="仿宋_GB2312" w:cs="仿宋_GB2312"/>
          <w:sz w:val="32"/>
          <w:szCs w:val="32"/>
        </w:rPr>
        <w:t>关法律法规，依法合规开展药品经营服务。</w:t>
      </w:r>
    </w:p>
    <w:p w14:paraId="6A9B0A01">
      <w:pPr>
        <w:spacing w:line="440" w:lineRule="exact"/>
        <w:ind w:firstLine="640" w:firstLineChars="200"/>
        <w:rPr>
          <w:rFonts w:eastAsia="仿宋_GB2312" w:cs="仿宋_GB2312"/>
          <w:sz w:val="32"/>
          <w:szCs w:val="32"/>
        </w:rPr>
      </w:pPr>
      <w:r>
        <w:rPr>
          <w:rFonts w:hint="eastAsia" w:eastAsia="仿宋_GB2312" w:cs="仿宋_GB2312"/>
          <w:sz w:val="32"/>
          <w:szCs w:val="32"/>
        </w:rPr>
        <w:t>二、“双通道”药品零售价格不</w:t>
      </w:r>
      <w:r>
        <w:rPr>
          <w:rFonts w:hint="eastAsia" w:eastAsia="仿宋_GB2312" w:cs="仿宋_GB2312"/>
          <w:sz w:val="32"/>
          <w:szCs w:val="32"/>
          <w:lang w:val="en-US" w:eastAsia="zh-CN"/>
        </w:rPr>
        <w:t>高于</w:t>
      </w:r>
      <w:r>
        <w:rPr>
          <w:rFonts w:hint="eastAsia" w:ascii="仿宋_GB2312" w:hAnsi="仿宋_GB2312" w:eastAsia="仿宋_GB2312" w:cs="仿宋_GB2312"/>
          <w:sz w:val="32"/>
          <w:szCs w:val="32"/>
        </w:rPr>
        <w:t>国家医保谈判药品的价格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并按规定公开价格信息，接受社会监督</w:t>
      </w:r>
      <w:r>
        <w:rPr>
          <w:rFonts w:hint="eastAsia" w:eastAsia="仿宋_GB2312" w:cs="仿宋_GB2312"/>
          <w:sz w:val="32"/>
          <w:szCs w:val="32"/>
        </w:rPr>
        <w:t>。</w:t>
      </w:r>
    </w:p>
    <w:p w14:paraId="33FB0A48">
      <w:pPr>
        <w:spacing w:line="440" w:lineRule="exact"/>
        <w:ind w:firstLine="640" w:firstLineChars="200"/>
        <w:rPr>
          <w:rFonts w:eastAsia="仿宋_GB2312" w:cs="仿宋_GB2312"/>
          <w:sz w:val="32"/>
          <w:szCs w:val="32"/>
        </w:rPr>
      </w:pPr>
      <w:r>
        <w:rPr>
          <w:rFonts w:hint="eastAsia" w:eastAsia="仿宋_GB2312" w:cs="仿宋_GB2312"/>
          <w:sz w:val="32"/>
          <w:szCs w:val="32"/>
        </w:rPr>
        <w:t>三、提供中山市行政区域内免费配送上门和药学专业技术人员随车配送服务，配送时限原则上不超过4小时，医疗机构或患者急需的配送时限不超过2小时。</w:t>
      </w:r>
    </w:p>
    <w:p w14:paraId="41E6E574">
      <w:pPr>
        <w:spacing w:line="440" w:lineRule="exact"/>
        <w:ind w:firstLine="640" w:firstLineChars="200"/>
        <w:rPr>
          <w:rFonts w:eastAsia="仿宋_GB2312" w:cs="仿宋_GB2312"/>
          <w:sz w:val="32"/>
          <w:szCs w:val="32"/>
        </w:rPr>
      </w:pPr>
      <w:r>
        <w:rPr>
          <w:rFonts w:hint="eastAsia" w:eastAsia="仿宋_GB2312" w:cs="仿宋_GB2312"/>
          <w:sz w:val="32"/>
          <w:szCs w:val="32"/>
        </w:rPr>
        <w:t>四、建立健全药品质量管理体系，承担因药品质量、储存不当或配送延误等自身原因</w:t>
      </w:r>
      <w:r>
        <w:rPr>
          <w:rFonts w:hint="eastAsia" w:eastAsia="仿宋_GB2312" w:cs="仿宋_GB2312"/>
          <w:sz w:val="32"/>
          <w:szCs w:val="32"/>
          <w:lang w:val="en-US" w:eastAsia="zh-CN"/>
        </w:rPr>
        <w:t>导致的全部责任，并依法做好药品不良反应监测与报告</w:t>
      </w:r>
      <w:r>
        <w:rPr>
          <w:rFonts w:hint="eastAsia" w:eastAsia="仿宋_GB2312" w:cs="仿宋_GB2312"/>
          <w:sz w:val="32"/>
          <w:szCs w:val="32"/>
        </w:rPr>
        <w:t>及后续处理工作。</w:t>
      </w:r>
    </w:p>
    <w:p w14:paraId="4DC79F19">
      <w:pPr>
        <w:spacing w:line="440" w:lineRule="exact"/>
        <w:ind w:firstLine="640" w:firstLineChars="200"/>
        <w:rPr>
          <w:rFonts w:eastAsia="仿宋_GB2312" w:cs="仿宋_GB2312"/>
          <w:sz w:val="32"/>
          <w:szCs w:val="32"/>
        </w:rPr>
      </w:pPr>
      <w:r>
        <w:rPr>
          <w:rFonts w:hint="eastAsia" w:eastAsia="仿宋_GB2312" w:cs="仿宋_GB2312"/>
          <w:sz w:val="32"/>
          <w:szCs w:val="32"/>
        </w:rPr>
        <w:t>五、遴选</w:t>
      </w:r>
      <w:r>
        <w:rPr>
          <w:rFonts w:hint="eastAsia" w:eastAsia="仿宋_GB2312" w:cs="仿宋_GB2312"/>
          <w:sz w:val="32"/>
          <w:szCs w:val="32"/>
          <w:lang w:val="en-US" w:eastAsia="zh-CN"/>
        </w:rPr>
        <w:t>通过</w:t>
      </w:r>
      <w:r>
        <w:rPr>
          <w:rFonts w:hint="eastAsia" w:eastAsia="仿宋_GB2312" w:cs="仿宋_GB2312"/>
          <w:sz w:val="32"/>
          <w:szCs w:val="32"/>
        </w:rPr>
        <w:t>后将严格履行与市医保中心签订</w:t>
      </w:r>
      <w:r>
        <w:rPr>
          <w:rFonts w:hint="eastAsia" w:eastAsia="仿宋_GB2312" w:cs="仿宋_GB2312"/>
          <w:sz w:val="32"/>
          <w:szCs w:val="32"/>
          <w:lang w:val="en-US" w:eastAsia="zh-CN"/>
        </w:rPr>
        <w:t>的</w:t>
      </w:r>
      <w:r>
        <w:rPr>
          <w:rFonts w:hint="eastAsia" w:eastAsia="仿宋_GB2312" w:cs="仿宋_GB2312"/>
          <w:sz w:val="32"/>
          <w:szCs w:val="32"/>
        </w:rPr>
        <w:t>“双通道”医保</w:t>
      </w:r>
      <w:r>
        <w:rPr>
          <w:rFonts w:hint="eastAsia" w:eastAsia="仿宋_GB2312" w:cs="仿宋_GB2312"/>
          <w:sz w:val="32"/>
          <w:szCs w:val="32"/>
          <w:lang w:val="en-US" w:eastAsia="zh-CN"/>
        </w:rPr>
        <w:t>服务</w:t>
      </w:r>
      <w:r>
        <w:rPr>
          <w:rFonts w:hint="eastAsia" w:eastAsia="仿宋_GB2312" w:cs="仿宋_GB2312"/>
          <w:sz w:val="32"/>
          <w:szCs w:val="32"/>
        </w:rPr>
        <w:t>协议，严格遵守协议管理</w:t>
      </w:r>
      <w:r>
        <w:rPr>
          <w:rFonts w:hint="eastAsia" w:eastAsia="仿宋_GB2312" w:cs="仿宋_GB2312"/>
          <w:sz w:val="32"/>
          <w:szCs w:val="32"/>
          <w:lang w:val="en-US" w:eastAsia="zh-CN"/>
        </w:rPr>
        <w:t>并</w:t>
      </w:r>
      <w:r>
        <w:rPr>
          <w:rFonts w:hint="eastAsia" w:eastAsia="仿宋_GB2312" w:cs="仿宋_GB2312"/>
          <w:sz w:val="32"/>
          <w:szCs w:val="32"/>
        </w:rPr>
        <w:t>接受医保、卫健、市场监管等部门的监督检查。</w:t>
      </w:r>
    </w:p>
    <w:p w14:paraId="1D92C590">
      <w:pPr>
        <w:spacing w:line="440" w:lineRule="exact"/>
        <w:ind w:firstLine="640" w:firstLineChars="200"/>
        <w:rPr>
          <w:rFonts w:eastAsia="仿宋_GB2312" w:cs="仿宋_GB2312"/>
          <w:sz w:val="32"/>
          <w:szCs w:val="32"/>
        </w:rPr>
      </w:pPr>
      <w:r>
        <w:rPr>
          <w:rFonts w:hint="eastAsia" w:eastAsia="仿宋_GB2312" w:cs="仿宋_GB2312"/>
          <w:sz w:val="32"/>
          <w:szCs w:val="32"/>
        </w:rPr>
        <w:t>六、经营范围限</w:t>
      </w:r>
      <w:r>
        <w:rPr>
          <w:rFonts w:hint="eastAsia" w:eastAsia="仿宋_GB2312" w:cs="仿宋_GB2312"/>
          <w:sz w:val="32"/>
          <w:szCs w:val="32"/>
          <w:lang w:val="en-US" w:eastAsia="zh-CN"/>
        </w:rPr>
        <w:t>定为</w:t>
      </w:r>
      <w:r>
        <w:rPr>
          <w:rFonts w:hint="eastAsia" w:eastAsia="仿宋_GB2312" w:cs="仿宋_GB2312"/>
          <w:sz w:val="32"/>
          <w:szCs w:val="32"/>
        </w:rPr>
        <w:t>：中药饮片、中成药、化学药制剂、抗生素制剂、生化药品、生物制品（除疫苗）、消毒用品、医疗器械、特殊食品</w:t>
      </w:r>
      <w:r>
        <w:rPr>
          <w:rFonts w:hint="eastAsia" w:eastAsia="仿宋_GB2312" w:cs="仿宋_GB2312"/>
          <w:sz w:val="32"/>
          <w:szCs w:val="32"/>
          <w:lang w:eastAsia="zh-CN"/>
        </w:rPr>
        <w:t>，不擅自超范围经营</w:t>
      </w:r>
      <w:r>
        <w:rPr>
          <w:rFonts w:hint="eastAsia" w:eastAsia="仿宋_GB2312" w:cs="仿宋_GB2312"/>
          <w:sz w:val="32"/>
          <w:szCs w:val="32"/>
        </w:rPr>
        <w:t>。</w:t>
      </w:r>
    </w:p>
    <w:p w14:paraId="73D5E641">
      <w:pPr>
        <w:spacing w:line="440" w:lineRule="exact"/>
        <w:ind w:firstLine="640" w:firstLineChars="200"/>
        <w:rPr>
          <w:rFonts w:eastAsia="仿宋_GB2312" w:cs="仿宋_GB2312"/>
          <w:sz w:val="32"/>
          <w:szCs w:val="32"/>
        </w:rPr>
      </w:pPr>
      <w:r>
        <w:rPr>
          <w:rFonts w:hint="eastAsia" w:eastAsia="仿宋_GB2312" w:cs="仿宋_GB2312"/>
          <w:sz w:val="32"/>
          <w:szCs w:val="32"/>
        </w:rPr>
        <w:t>七、按时完成广东省医保信息平台和广东智慧药监平台对接，</w:t>
      </w:r>
      <w:r>
        <w:rPr>
          <w:rFonts w:hint="eastAsia" w:eastAsia="仿宋_GB2312" w:cs="仿宋_GB2312"/>
          <w:sz w:val="32"/>
          <w:szCs w:val="32"/>
          <w:lang w:val="en-US" w:eastAsia="zh-CN"/>
        </w:rPr>
        <w:t>并</w:t>
      </w:r>
      <w:r>
        <w:rPr>
          <w:rFonts w:hint="eastAsia" w:eastAsia="仿宋_GB2312" w:cs="仿宋_GB2312"/>
          <w:sz w:val="32"/>
          <w:szCs w:val="32"/>
        </w:rPr>
        <w:t>承担</w:t>
      </w:r>
      <w:r>
        <w:rPr>
          <w:rFonts w:hint="eastAsia" w:eastAsia="仿宋_GB2312" w:cs="仿宋_GB2312"/>
          <w:sz w:val="32"/>
          <w:szCs w:val="32"/>
          <w:lang w:val="en-US" w:eastAsia="zh-CN"/>
        </w:rPr>
        <w:t>相关系统（如</w:t>
      </w:r>
      <w:r>
        <w:rPr>
          <w:rFonts w:hint="eastAsia" w:eastAsia="仿宋_GB2312" w:cs="仿宋_GB2312"/>
          <w:sz w:val="32"/>
          <w:szCs w:val="32"/>
        </w:rPr>
        <w:t>广东省医保信息平台</w:t>
      </w:r>
      <w:r>
        <w:rPr>
          <w:rFonts w:hint="eastAsia" w:eastAsia="仿宋_GB2312" w:cs="仿宋_GB2312"/>
          <w:sz w:val="32"/>
          <w:szCs w:val="32"/>
          <w:lang w:eastAsia="zh-CN"/>
        </w:rPr>
        <w:t>、</w:t>
      </w:r>
      <w:r>
        <w:rPr>
          <w:rFonts w:hint="eastAsia" w:eastAsia="仿宋_GB2312" w:cs="仿宋_GB2312"/>
          <w:sz w:val="32"/>
          <w:szCs w:val="32"/>
        </w:rPr>
        <w:t>广东智慧药监平台</w:t>
      </w:r>
      <w:r>
        <w:rPr>
          <w:rFonts w:hint="eastAsia" w:eastAsia="仿宋_GB2312" w:cs="仿宋_GB2312"/>
          <w:sz w:val="32"/>
          <w:szCs w:val="32"/>
          <w:lang w:val="en-US" w:eastAsia="zh-CN"/>
        </w:rPr>
        <w:t>等）改造及运维</w:t>
      </w:r>
      <w:r>
        <w:rPr>
          <w:rFonts w:hint="eastAsia" w:eastAsia="仿宋_GB2312" w:cs="仿宋_GB2312"/>
          <w:sz w:val="32"/>
          <w:szCs w:val="32"/>
        </w:rPr>
        <w:t>费用</w:t>
      </w:r>
      <w:bookmarkStart w:id="0" w:name="_GoBack"/>
      <w:bookmarkEnd w:id="0"/>
      <w:r>
        <w:rPr>
          <w:rFonts w:hint="eastAsia" w:eastAsia="仿宋_GB2312" w:cs="仿宋_GB2312"/>
          <w:sz w:val="32"/>
          <w:szCs w:val="32"/>
          <w:lang w:val="en-US" w:eastAsia="zh-CN"/>
        </w:rPr>
        <w:t>，确保数据实时传输</w:t>
      </w:r>
      <w:r>
        <w:rPr>
          <w:rFonts w:hint="eastAsia" w:eastAsia="仿宋_GB2312" w:cs="仿宋_GB2312"/>
          <w:sz w:val="32"/>
          <w:szCs w:val="32"/>
        </w:rPr>
        <w:t>。</w:t>
      </w:r>
    </w:p>
    <w:p w14:paraId="7E69E4C8">
      <w:pPr>
        <w:spacing w:line="440" w:lineRule="exact"/>
        <w:ind w:firstLine="640" w:firstLineChars="200"/>
        <w:rPr>
          <w:rFonts w:hint="eastAsia" w:eastAsia="仿宋_GB2312" w:cs="仿宋_GB2312"/>
          <w:sz w:val="32"/>
          <w:szCs w:val="32"/>
        </w:rPr>
      </w:pPr>
      <w:r>
        <w:rPr>
          <w:rFonts w:hint="eastAsia" w:eastAsia="仿宋_GB2312" w:cs="仿宋_GB2312"/>
          <w:sz w:val="32"/>
          <w:szCs w:val="32"/>
        </w:rPr>
        <w:t>八、本次提交的申请材料真实、准确、完整。如有虚假，愿承担相应法律责任并取消遴选资格。</w:t>
      </w:r>
    </w:p>
    <w:p w14:paraId="026B5F79">
      <w:pPr>
        <w:pStyle w:val="2"/>
        <w:rPr>
          <w:rFonts w:hint="eastAsia" w:eastAsia="仿宋_GB2312" w:cs="仿宋_GB2312"/>
          <w:b w:val="0"/>
          <w:bCs w:val="0"/>
          <w:kern w:val="2"/>
          <w:sz w:val="32"/>
          <w:szCs w:val="32"/>
        </w:rPr>
      </w:pPr>
      <w:r>
        <w:rPr>
          <w:rFonts w:hint="eastAsia" w:eastAsia="仿宋_GB2312" w:cs="仿宋_GB2312"/>
          <w:b w:val="0"/>
          <w:bCs w:val="0"/>
          <w:kern w:val="2"/>
          <w:sz w:val="32"/>
          <w:szCs w:val="32"/>
        </w:rPr>
        <w:t>若违反上述承诺，本单位自愿接受纳入失信名单、解除“双通道”服务协议等处理，并承担相应法律后果。</w:t>
      </w:r>
    </w:p>
    <w:p w14:paraId="04B52512">
      <w:pPr>
        <w:pStyle w:val="2"/>
        <w:ind w:firstLine="640" w:firstLineChars="200"/>
      </w:pPr>
      <w:r>
        <w:rPr>
          <w:rFonts w:hint="eastAsia" w:eastAsia="仿宋_GB2312" w:cs="仿宋_GB2312"/>
          <w:b w:val="0"/>
          <w:bCs w:val="0"/>
          <w:kern w:val="2"/>
          <w:sz w:val="32"/>
          <w:szCs w:val="32"/>
        </w:rPr>
        <w:t>本承诺书自签署之日起生效。</w:t>
      </w:r>
    </w:p>
    <w:p w14:paraId="2E9A7B4B">
      <w:pPr>
        <w:spacing w:line="440" w:lineRule="exact"/>
        <w:ind w:firstLine="640" w:firstLineChars="200"/>
        <w:rPr>
          <w:rFonts w:eastAsia="仿宋_GB2312" w:cs="仿宋_GB2312"/>
          <w:sz w:val="32"/>
          <w:szCs w:val="32"/>
        </w:rPr>
      </w:pPr>
    </w:p>
    <w:p w14:paraId="5018AF45">
      <w:pPr>
        <w:wordWrap w:val="0"/>
        <w:spacing w:line="440" w:lineRule="exact"/>
        <w:jc w:val="right"/>
        <w:rPr>
          <w:rFonts w:eastAsia="仿宋_GB2312" w:cs="仿宋_GB2312"/>
          <w:sz w:val="32"/>
          <w:szCs w:val="32"/>
        </w:rPr>
      </w:pPr>
      <w:r>
        <w:rPr>
          <w:rFonts w:hint="eastAsia" w:eastAsia="仿宋_GB2312" w:cs="仿宋_GB2312"/>
          <w:sz w:val="32"/>
          <w:szCs w:val="32"/>
          <w:lang w:val="en-US" w:eastAsia="zh-CN"/>
        </w:rPr>
        <w:t>承诺</w:t>
      </w:r>
      <w:r>
        <w:rPr>
          <w:rFonts w:hint="eastAsia" w:eastAsia="仿宋_GB2312" w:cs="仿宋_GB2312"/>
          <w:sz w:val="32"/>
          <w:szCs w:val="32"/>
        </w:rPr>
        <w:t>单位</w:t>
      </w:r>
      <w:r>
        <w:rPr>
          <w:rFonts w:hint="eastAsia" w:eastAsia="仿宋_GB2312" w:cs="仿宋_GB2312"/>
          <w:sz w:val="32"/>
          <w:szCs w:val="32"/>
          <w:lang w:eastAsia="zh-CN"/>
        </w:rPr>
        <w:t>（</w:t>
      </w:r>
      <w:r>
        <w:rPr>
          <w:rFonts w:hint="eastAsia" w:eastAsia="仿宋_GB2312" w:cs="仿宋_GB2312"/>
          <w:sz w:val="32"/>
          <w:szCs w:val="32"/>
          <w:lang w:val="en-US" w:eastAsia="zh-CN"/>
        </w:rPr>
        <w:t>盖章）</w:t>
      </w:r>
      <w:r>
        <w:rPr>
          <w:rFonts w:hint="eastAsia" w:eastAsia="仿宋_GB2312" w:cs="仿宋_GB2312"/>
          <w:sz w:val="32"/>
          <w:szCs w:val="32"/>
        </w:rPr>
        <w:t xml:space="preserve">：               </w:t>
      </w:r>
    </w:p>
    <w:p w14:paraId="3D42B027">
      <w:pPr>
        <w:wordWrap w:val="0"/>
        <w:spacing w:line="440" w:lineRule="exact"/>
        <w:jc w:val="right"/>
        <w:rPr>
          <w:rFonts w:eastAsia="仿宋_GB2312" w:cs="仿宋_GB2312"/>
          <w:sz w:val="32"/>
          <w:szCs w:val="32"/>
        </w:rPr>
      </w:pPr>
      <w:r>
        <w:rPr>
          <w:rFonts w:hint="eastAsia" w:eastAsia="仿宋_GB2312" w:cs="仿宋_GB2312"/>
          <w:sz w:val="32"/>
          <w:szCs w:val="32"/>
        </w:rPr>
        <w:t xml:space="preserve">法定代表人签名：               </w:t>
      </w:r>
    </w:p>
    <w:p w14:paraId="3E1ECF75">
      <w:pPr>
        <w:wordWrap w:val="0"/>
        <w:spacing w:line="440" w:lineRule="exact"/>
        <w:jc w:val="right"/>
        <w:rPr>
          <w:rFonts w:eastAsia="仿宋_GB2312" w:cs="仿宋_GB2312"/>
          <w:sz w:val="32"/>
          <w:szCs w:val="32"/>
        </w:rPr>
      </w:pPr>
      <w:r>
        <w:rPr>
          <w:rFonts w:hint="eastAsia" w:eastAsia="仿宋_GB2312" w:cs="仿宋_GB2312"/>
          <w:sz w:val="32"/>
          <w:szCs w:val="32"/>
          <w:lang w:val="en-US" w:eastAsia="zh-CN"/>
        </w:rPr>
        <w:t>签署</w:t>
      </w:r>
      <w:r>
        <w:rPr>
          <w:rFonts w:hint="eastAsia" w:eastAsia="仿宋_GB2312" w:cs="仿宋_GB2312"/>
          <w:sz w:val="32"/>
          <w:szCs w:val="32"/>
        </w:rPr>
        <w:t xml:space="preserve">日期：               </w:t>
      </w:r>
    </w:p>
    <w:p w14:paraId="45064D0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9BE"/>
    <w:rsid w:val="00740E21"/>
    <w:rsid w:val="00EB59BE"/>
    <w:rsid w:val="4EEB65B5"/>
    <w:rsid w:val="6C8C2034"/>
    <w:rsid w:val="7A324303"/>
    <w:rsid w:val="7EFBA789"/>
    <w:rsid w:val="F7F64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link w:val="5"/>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5">
    <w:name w:val="标题 1 字符"/>
    <w:basedOn w:val="4"/>
    <w:link w:val="2"/>
    <w:qFormat/>
    <w:uiPriority w:val="9"/>
    <w:rPr>
      <w:rFonts w:ascii="Calibri" w:hAnsi="Calibri" w:eastAsia="宋体" w:cs="宋体"/>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674</Words>
  <Characters>710</Characters>
  <Lines>3</Lines>
  <Paragraphs>1</Paragraphs>
  <TotalTime>15</TotalTime>
  <ScaleCrop>false</ScaleCrop>
  <LinksUpToDate>false</LinksUpToDate>
  <CharactersWithSpaces>755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2022-05-25T01:18:00Z</dcterms:created>
  <dc:creator>陈 嘉敏</dc:creator>
  <cp:lastModifiedBy>mindy</cp:lastModifiedBy>
  <dcterms:modified xsi:type="dcterms:W3CDTF">2026-10-28T10:19:37Z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0AF3C3B59CA4481CAC72DBA77E1B7DE1_12</vt:lpwstr>
  </property>
  <property fmtid="{D5CDD505-2E9C-101B-9397-08002B2CF9AE}" pid="4" name="KSOTemplateDocerSaveRecord">
    <vt:lpwstr>eyJoZGlkIjoiN2YzNjBkOTgyNWQ1YTMxYzM3MzMwNWFiODNmOWIzYWMiLCJ1c2VySWQiOiIxMTk2ODQ5MDUyIn0=</vt:lpwstr>
  </property>
</Properties>
</file>