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AEC0" w14:textId="77777777" w:rsidR="00324874" w:rsidRDefault="001A321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12FBC376" w14:textId="77777777" w:rsidR="00324874" w:rsidRDefault="001A3210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中山</w:t>
      </w: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市“双通道”定点零售药店遴选评分表</w:t>
      </w:r>
    </w:p>
    <w:p w14:paraId="5F8632D3" w14:textId="77777777" w:rsidR="00324874" w:rsidRDefault="00324874">
      <w:pPr>
        <w:spacing w:line="56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</w:p>
    <w:p w14:paraId="3A58A1E5" w14:textId="77777777" w:rsidR="00324874" w:rsidRDefault="001A3210">
      <w:pPr>
        <w:spacing w:line="600" w:lineRule="exact"/>
        <w:ind w:firstLine="420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企业名称：</w:t>
      </w:r>
      <w:r>
        <w:rPr>
          <w:rFonts w:ascii="宋体" w:hAnsi="宋体" w:hint="eastAsia"/>
          <w:sz w:val="32"/>
          <w:szCs w:val="32"/>
        </w:rPr>
        <w:t xml:space="preserve">          </w:t>
      </w:r>
      <w:r>
        <w:rPr>
          <w:rFonts w:ascii="宋体" w:hAnsi="宋体" w:hint="eastAsia"/>
          <w:sz w:val="32"/>
          <w:szCs w:val="32"/>
        </w:rPr>
        <w:t xml:space="preserve">                                      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核查日期：</w:t>
      </w:r>
    </w:p>
    <w:tbl>
      <w:tblPr>
        <w:tblStyle w:val="a4"/>
        <w:tblW w:w="1322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3208"/>
        <w:gridCol w:w="3454"/>
        <w:gridCol w:w="1276"/>
        <w:gridCol w:w="1417"/>
        <w:gridCol w:w="1134"/>
        <w:gridCol w:w="759"/>
      </w:tblGrid>
      <w:tr w:rsidR="00324874" w14:paraId="1000D88E" w14:textId="77777777">
        <w:trPr>
          <w:trHeight w:val="80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5478E7A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1D8AD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类别</w:t>
            </w:r>
          </w:p>
        </w:tc>
        <w:tc>
          <w:tcPr>
            <w:tcW w:w="3208" w:type="dxa"/>
            <w:shd w:val="clear" w:color="auto" w:fill="auto"/>
            <w:vAlign w:val="center"/>
          </w:tcPr>
          <w:p w14:paraId="74525683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审核内容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15CDCE7D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评分细则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73E4C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基本分值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9D9584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评分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方式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DD3BB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实际得分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E305A31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:rsidR="00324874" w14:paraId="00C5E033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0B806F65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593E24D2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一票否决项</w:t>
            </w:r>
          </w:p>
        </w:tc>
        <w:tc>
          <w:tcPr>
            <w:tcW w:w="3208" w:type="dxa"/>
            <w:vAlign w:val="center"/>
          </w:tcPr>
          <w:p w14:paraId="40176FCB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属于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中山市社会医疗保险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定点零售药店。</w:t>
            </w:r>
          </w:p>
        </w:tc>
        <w:tc>
          <w:tcPr>
            <w:tcW w:w="3454" w:type="dxa"/>
            <w:vAlign w:val="center"/>
          </w:tcPr>
          <w:p w14:paraId="5E28A0FA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非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中山市社会医疗保险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定点零售药店不参与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遴选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。</w:t>
            </w:r>
          </w:p>
        </w:tc>
        <w:tc>
          <w:tcPr>
            <w:tcW w:w="1276" w:type="dxa"/>
            <w:vAlign w:val="center"/>
          </w:tcPr>
          <w:p w14:paraId="57B475AE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41136C67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核实签约</w:t>
            </w:r>
          </w:p>
          <w:p w14:paraId="21327D3E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1134" w:type="dxa"/>
            <w:vAlign w:val="center"/>
          </w:tcPr>
          <w:p w14:paraId="28FB747D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51B0A564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48C9752F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4236A319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14:paraId="451BD41E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57A566A0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药店必须诚实守法经营，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在申请之日前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szCs w:val="21"/>
              </w:rPr>
              <w:t>内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没有因违法违规经营被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市场监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管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局、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卫生健康局、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医保局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作出含警告以上行政处罚。</w:t>
            </w:r>
          </w:p>
        </w:tc>
        <w:tc>
          <w:tcPr>
            <w:tcW w:w="3454" w:type="dxa"/>
            <w:vAlign w:val="center"/>
          </w:tcPr>
          <w:p w14:paraId="7F5EFF42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申请药店（含连锁总部或集团总部）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年内受过处理的不通过。提供“信用中国”相关截图说明。</w:t>
            </w:r>
          </w:p>
        </w:tc>
        <w:tc>
          <w:tcPr>
            <w:tcW w:w="1276" w:type="dxa"/>
            <w:vAlign w:val="center"/>
          </w:tcPr>
          <w:p w14:paraId="7A737FD5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3BFC0E22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4FB6FCA7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3A076564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03313AEF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73A16D54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12EC26E1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089C46DB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遵守《中华人民共和国药品管理法》及有关法律法规，有健全和完善的管理制度。</w:t>
            </w:r>
          </w:p>
        </w:tc>
        <w:tc>
          <w:tcPr>
            <w:tcW w:w="3454" w:type="dxa"/>
            <w:vAlign w:val="center"/>
          </w:tcPr>
          <w:p w14:paraId="6E56ED1D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不可或缺项，缺项则不通过。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药品管理、信息系统管理、医保基金内控内审制度、药品不良反应应急预案和处理流程、药品召回制度。</w:t>
            </w:r>
          </w:p>
        </w:tc>
        <w:tc>
          <w:tcPr>
            <w:tcW w:w="1276" w:type="dxa"/>
            <w:vAlign w:val="center"/>
          </w:tcPr>
          <w:p w14:paraId="17D35C29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228356A8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23A022A1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515D4BC9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15DB6A16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12AE9F4B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14:paraId="5021CA21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3B542237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具备可联网接入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全省电子处方流转中心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的软、硬件条件，能确保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在国家医疗保障信息平台“一站式”结算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，并能正确反映规定药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品“进、销、存”情况。</w:t>
            </w:r>
          </w:p>
        </w:tc>
        <w:tc>
          <w:tcPr>
            <w:tcW w:w="3454" w:type="dxa"/>
            <w:vAlign w:val="center"/>
          </w:tcPr>
          <w:p w14:paraId="25B163BC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没有接入国家医疗保障信息平台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的不参与评定。药店全部药品的购、销、存数据可上传到广东省智慧药监系统。</w:t>
            </w:r>
          </w:p>
        </w:tc>
        <w:tc>
          <w:tcPr>
            <w:tcW w:w="1276" w:type="dxa"/>
            <w:vAlign w:val="center"/>
          </w:tcPr>
          <w:p w14:paraId="214BEF47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7927314F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确定名单后现场勘查</w:t>
            </w:r>
          </w:p>
        </w:tc>
        <w:tc>
          <w:tcPr>
            <w:tcW w:w="1134" w:type="dxa"/>
            <w:vAlign w:val="center"/>
          </w:tcPr>
          <w:p w14:paraId="6F9B9E94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401F8FC6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3A1962D6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1D818897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14:paraId="0D61BDFC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79C217B4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具备药学服务信息系统，包括药品信息管理功能和患者信息管理功能。</w:t>
            </w:r>
          </w:p>
        </w:tc>
        <w:tc>
          <w:tcPr>
            <w:tcW w:w="3454" w:type="dxa"/>
            <w:vAlign w:val="center"/>
          </w:tcPr>
          <w:p w14:paraId="26144635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无药学服务系统的不参与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遴选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。</w:t>
            </w:r>
          </w:p>
        </w:tc>
        <w:tc>
          <w:tcPr>
            <w:tcW w:w="1276" w:type="dxa"/>
            <w:vAlign w:val="center"/>
          </w:tcPr>
          <w:p w14:paraId="72D635CB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1EDAA515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44FBE5AE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0EA70FE4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2C6D67FF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7AF190BE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14:paraId="204AC389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6F3C11A5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药店或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所属连锁总部（或集团总部）取得“双通道”管理药品目录内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50%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以上（含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50%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）品种。</w:t>
            </w:r>
          </w:p>
        </w:tc>
        <w:tc>
          <w:tcPr>
            <w:tcW w:w="3454" w:type="dxa"/>
            <w:vAlign w:val="center"/>
          </w:tcPr>
          <w:p w14:paraId="6E7DCD97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未取得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50%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品种（生产厂家或经销商授权）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的不参与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遴选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。</w:t>
            </w:r>
          </w:p>
        </w:tc>
        <w:tc>
          <w:tcPr>
            <w:tcW w:w="1276" w:type="dxa"/>
            <w:vAlign w:val="center"/>
          </w:tcPr>
          <w:p w14:paraId="6B45145C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542B0D06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129F85E9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0CE0F03F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125EC2CD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7C3B6392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992" w:type="dxa"/>
            <w:vMerge/>
            <w:vAlign w:val="center"/>
          </w:tcPr>
          <w:p w14:paraId="0D67D240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62F99E9D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经销场所具备符合冷链要求的储存区域设备及配送设备。</w:t>
            </w:r>
          </w:p>
        </w:tc>
        <w:tc>
          <w:tcPr>
            <w:tcW w:w="3454" w:type="dxa"/>
            <w:vAlign w:val="center"/>
          </w:tcPr>
          <w:p w14:paraId="1D46E42C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无冷链储存的场所、设备及配送设备的不参与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遴选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。</w:t>
            </w:r>
          </w:p>
        </w:tc>
        <w:tc>
          <w:tcPr>
            <w:tcW w:w="1276" w:type="dxa"/>
            <w:vAlign w:val="center"/>
          </w:tcPr>
          <w:p w14:paraId="43AC3E7B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41E5CE00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281C9D42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6CC9BCD9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3E279047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5863F096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992" w:type="dxa"/>
            <w:vMerge/>
            <w:vAlign w:val="center"/>
          </w:tcPr>
          <w:p w14:paraId="0D119A97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77643C23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经营场所应至少配备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名执业药师并在岗提供药事服务。</w:t>
            </w:r>
          </w:p>
        </w:tc>
        <w:tc>
          <w:tcPr>
            <w:tcW w:w="3454" w:type="dxa"/>
            <w:vAlign w:val="center"/>
          </w:tcPr>
          <w:p w14:paraId="5B640E23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无配备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名以上执业药师的不参与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遴选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需提供药师在药店或连锁总部（或集团总部）的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社会保险参保缴费证明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原件。至少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名在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该店实际工作的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执业药师，参保缴费至少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个月。</w:t>
            </w:r>
          </w:p>
        </w:tc>
        <w:tc>
          <w:tcPr>
            <w:tcW w:w="1276" w:type="dxa"/>
            <w:vAlign w:val="center"/>
          </w:tcPr>
          <w:p w14:paraId="287F45A2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359F276D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35B856B1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7BE292D3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3949301F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0ED6D5BA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992" w:type="dxa"/>
            <w:vMerge/>
            <w:vAlign w:val="center"/>
          </w:tcPr>
          <w:p w14:paraId="62D2038E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2DDF4743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具备“双通道”管理药品目录相关品种经营资质</w:t>
            </w:r>
          </w:p>
        </w:tc>
        <w:tc>
          <w:tcPr>
            <w:tcW w:w="3454" w:type="dxa"/>
            <w:vAlign w:val="center"/>
          </w:tcPr>
          <w:p w14:paraId="69BDA5A9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具备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注射剂、肿瘤治疗药、抗生素、生物制品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经营资质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。</w:t>
            </w:r>
          </w:p>
        </w:tc>
        <w:tc>
          <w:tcPr>
            <w:tcW w:w="1276" w:type="dxa"/>
            <w:vAlign w:val="center"/>
          </w:tcPr>
          <w:p w14:paraId="2B8939CF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4A7B85E0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</w:p>
          <w:p w14:paraId="7FCBCDBE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48A0FD64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6325B979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14AF28FC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47C7F4F2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5D0CC007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服务</w:t>
            </w:r>
          </w:p>
          <w:p w14:paraId="4D2FBDC2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设施</w:t>
            </w:r>
          </w:p>
          <w:p w14:paraId="3B8FA6ED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3208" w:type="dxa"/>
            <w:vAlign w:val="center"/>
          </w:tcPr>
          <w:p w14:paraId="110397B6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经营面积符合国家和我省有关管理规范，有相对独立的处方服务专区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和拆零药品销售专区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，能满足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药品拆零、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处方外配及群众取药需求。</w:t>
            </w:r>
          </w:p>
        </w:tc>
        <w:tc>
          <w:tcPr>
            <w:tcW w:w="3454" w:type="dxa"/>
            <w:vAlign w:val="center"/>
          </w:tcPr>
          <w:p w14:paraId="51DFCAC7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专区需独立设置，有清晰、醒目的专用标识，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具备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拆零销售所需要的调配工具、包装用品</w:t>
            </w:r>
            <w:r>
              <w:rPr>
                <w:rFonts w:asciiTheme="minorEastAsia" w:hAnsiTheme="minorEastAsia" w:cstheme="minorEastAsia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能满足药品拆零、处方调配及群众取药需求。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该项全部满足要求的得</w:t>
            </w: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分，否则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不得分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14:paraId="11730DD6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14:paraId="05E6808B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确定名单后现场勘查</w:t>
            </w:r>
          </w:p>
        </w:tc>
        <w:tc>
          <w:tcPr>
            <w:tcW w:w="1134" w:type="dxa"/>
            <w:vAlign w:val="center"/>
          </w:tcPr>
          <w:p w14:paraId="76DE1801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414BD174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0ACCB0A2" w14:textId="77777777">
        <w:trPr>
          <w:trHeight w:val="2520"/>
          <w:jc w:val="center"/>
        </w:trPr>
        <w:tc>
          <w:tcPr>
            <w:tcW w:w="988" w:type="dxa"/>
            <w:vAlign w:val="center"/>
          </w:tcPr>
          <w:p w14:paraId="1EC3F6DC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992" w:type="dxa"/>
            <w:vMerge/>
            <w:vAlign w:val="center"/>
          </w:tcPr>
          <w:p w14:paraId="5EE208F2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207E2081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符合冷链要求的储存区域设备及配送设备</w:t>
            </w:r>
          </w:p>
        </w:tc>
        <w:tc>
          <w:tcPr>
            <w:tcW w:w="3454" w:type="dxa"/>
            <w:vAlign w:val="center"/>
          </w:tcPr>
          <w:p w14:paraId="21B1C09E" w14:textId="77777777" w:rsidR="00324874" w:rsidRDefault="001A3210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具有与经营冷链药品规模相适应的储存设施设备，专业医用冰箱需要通过验证符合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GSP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附录验证管理要求的验证（需要确保冷链仓储设备质量满足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GSP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标准），保障药品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2-8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摄氏度保存，得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</w:p>
          <w:p w14:paraId="3B373960" w14:textId="77777777" w:rsidR="00324874" w:rsidRDefault="001A3210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可对陈列环境温度和储存环境温湿度实时有效监测和调控，记录可追溯，得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分。</w:t>
            </w:r>
          </w:p>
          <w:p w14:paraId="50A0F8C2" w14:textId="77777777" w:rsidR="00324874" w:rsidRDefault="001A3210">
            <w:pPr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备注：上述设备需要合格验证报告，否则不得分。</w:t>
            </w:r>
          </w:p>
        </w:tc>
        <w:tc>
          <w:tcPr>
            <w:tcW w:w="1276" w:type="dxa"/>
            <w:vAlign w:val="center"/>
          </w:tcPr>
          <w:p w14:paraId="4A73FEFF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417" w:type="dxa"/>
            <w:vAlign w:val="center"/>
          </w:tcPr>
          <w:p w14:paraId="5F0A5247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确定名单后现场勘查</w:t>
            </w:r>
          </w:p>
        </w:tc>
        <w:tc>
          <w:tcPr>
            <w:tcW w:w="1134" w:type="dxa"/>
            <w:vAlign w:val="center"/>
          </w:tcPr>
          <w:p w14:paraId="2A035F3C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5E695AC9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179DB67D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69A0E1A2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992" w:type="dxa"/>
            <w:vMerge/>
            <w:vAlign w:val="center"/>
          </w:tcPr>
          <w:p w14:paraId="5BFCF930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208" w:type="dxa"/>
            <w:vAlign w:val="center"/>
          </w:tcPr>
          <w:p w14:paraId="12F09183" w14:textId="77777777" w:rsidR="00324874" w:rsidRDefault="001A321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配备相应的防尘、防潮、防虫、防鼠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避光、通风等设施设备</w:t>
            </w:r>
            <w:r>
              <w:rPr>
                <w:rFonts w:asciiTheme="minorEastAsia" w:hAnsiTheme="minorEastAsia" w:cstheme="minorEastAsia" w:hint="eastAsia"/>
                <w:szCs w:val="21"/>
              </w:rPr>
              <w:t>并能正常使用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</w:tc>
        <w:tc>
          <w:tcPr>
            <w:tcW w:w="3454" w:type="dxa"/>
            <w:vAlign w:val="center"/>
          </w:tcPr>
          <w:p w14:paraId="320B17B9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每缺一项扣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分，扣完为止。</w:t>
            </w:r>
          </w:p>
        </w:tc>
        <w:tc>
          <w:tcPr>
            <w:tcW w:w="1276" w:type="dxa"/>
            <w:vAlign w:val="center"/>
          </w:tcPr>
          <w:p w14:paraId="6E99D278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417" w:type="dxa"/>
            <w:vAlign w:val="center"/>
          </w:tcPr>
          <w:p w14:paraId="1E2C43A0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确定名单后现场勘查</w:t>
            </w:r>
          </w:p>
        </w:tc>
        <w:tc>
          <w:tcPr>
            <w:tcW w:w="1134" w:type="dxa"/>
            <w:vAlign w:val="center"/>
          </w:tcPr>
          <w:p w14:paraId="232B18AF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475EB6F5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5CC86CA3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186E98F4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992" w:type="dxa"/>
            <w:vMerge/>
            <w:vAlign w:val="center"/>
          </w:tcPr>
          <w:p w14:paraId="65EE7D50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094A5A81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药店应在营业店堂的显著位置悬挂药品经营许可证、营业执照、药学技术人员执业证明、服务公约、监督举报电话、顾客意见簿。</w:t>
            </w:r>
          </w:p>
        </w:tc>
        <w:tc>
          <w:tcPr>
            <w:tcW w:w="3454" w:type="dxa"/>
            <w:vAlign w:val="center"/>
          </w:tcPr>
          <w:p w14:paraId="047EC4AF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每缺一项扣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分，扣完为止。</w:t>
            </w:r>
          </w:p>
        </w:tc>
        <w:tc>
          <w:tcPr>
            <w:tcW w:w="1276" w:type="dxa"/>
            <w:vAlign w:val="center"/>
          </w:tcPr>
          <w:p w14:paraId="0E4C1B6F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18C52B19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确定名单后现场勘查</w:t>
            </w:r>
          </w:p>
        </w:tc>
        <w:tc>
          <w:tcPr>
            <w:tcW w:w="1134" w:type="dxa"/>
            <w:vAlign w:val="center"/>
          </w:tcPr>
          <w:p w14:paraId="5F131348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79D789A5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5A56CBF7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0FFC800F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992" w:type="dxa"/>
            <w:vMerge/>
            <w:vAlign w:val="center"/>
          </w:tcPr>
          <w:p w14:paraId="64C986EE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224A3D3E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具有独立的患者等待服务设施、设备、区域，如饮水机和休息区。</w:t>
            </w:r>
          </w:p>
        </w:tc>
        <w:tc>
          <w:tcPr>
            <w:tcW w:w="3454" w:type="dxa"/>
            <w:vAlign w:val="center"/>
          </w:tcPr>
          <w:p w14:paraId="151C32C4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未设置休息区的扣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分，没有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饮水机等设施设备的扣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14:paraId="75D4485D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6BE91CB5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确定名单后现场勘查</w:t>
            </w:r>
          </w:p>
        </w:tc>
        <w:tc>
          <w:tcPr>
            <w:tcW w:w="1134" w:type="dxa"/>
            <w:vAlign w:val="center"/>
          </w:tcPr>
          <w:p w14:paraId="68FF2E95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20AAFA73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0FFDF9C6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4EDBB9CA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992" w:type="dxa"/>
            <w:vMerge/>
            <w:vAlign w:val="center"/>
          </w:tcPr>
          <w:p w14:paraId="5E736C46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0D0D96DE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具备药学服务信息系统，包括药品信息管理功能和患者信息管理功能。</w:t>
            </w:r>
          </w:p>
        </w:tc>
        <w:tc>
          <w:tcPr>
            <w:tcW w:w="3454" w:type="dxa"/>
            <w:vAlign w:val="center"/>
          </w:tcPr>
          <w:p w14:paraId="5D618987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）查看药品信息管理功能，至少包括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药品基本信息管理、药品资料查询、相互作用查询、用药安全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信息查询、用药指导和用药咨询记录等；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）查看患者信息管理功能，至少包括：患者相关基本信息、疾病相关信息、用药情况记录、用药评估与干预过程、回访记录等药历内容；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）具有保护患者信息安全的措施（如不同访问权限管理、操作者身份信息）。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以上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点都满足为优，得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满足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点为良，得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满足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点，得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1276" w:type="dxa"/>
            <w:vAlign w:val="center"/>
          </w:tcPr>
          <w:p w14:paraId="01E5F9CE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14:paraId="6EAD0DAE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确定名单后现场勘查</w:t>
            </w:r>
          </w:p>
        </w:tc>
        <w:tc>
          <w:tcPr>
            <w:tcW w:w="1134" w:type="dxa"/>
            <w:vAlign w:val="center"/>
          </w:tcPr>
          <w:p w14:paraId="7FF2AEBE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1C269A66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7CBAEC47" w14:textId="77777777">
        <w:trPr>
          <w:trHeight w:val="590"/>
          <w:jc w:val="center"/>
        </w:trPr>
        <w:tc>
          <w:tcPr>
            <w:tcW w:w="988" w:type="dxa"/>
            <w:vAlign w:val="center"/>
          </w:tcPr>
          <w:p w14:paraId="1D63D5AF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992" w:type="dxa"/>
            <w:vMerge/>
            <w:vAlign w:val="center"/>
          </w:tcPr>
          <w:p w14:paraId="1A094942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714C22AB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具备药品信息与医保信息系统实时传输，实现电子追溯等条件。</w:t>
            </w:r>
          </w:p>
        </w:tc>
        <w:tc>
          <w:tcPr>
            <w:tcW w:w="3454" w:type="dxa"/>
            <w:vAlign w:val="center"/>
          </w:tcPr>
          <w:p w14:paraId="10DAF515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满足对所售药品已实现电子追溯等条件，可实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现患者与药店直接结算。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系统可实现处方、交易、配送全程可追溯，实现信息流、资金流、物流全程可监控。</w:t>
            </w:r>
          </w:p>
          <w:p w14:paraId="3AF8DCF4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可通过药店系统查询到药品（包括平台销售的药品、处方药等法律法规要求登记的药品）销售去向的得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分；仅可查询药品的购进情况的得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1276" w:type="dxa"/>
            <w:vAlign w:val="center"/>
          </w:tcPr>
          <w:p w14:paraId="78414A90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417" w:type="dxa"/>
            <w:vAlign w:val="center"/>
          </w:tcPr>
          <w:p w14:paraId="7BD672EA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确定名单后现场勘查</w:t>
            </w:r>
          </w:p>
        </w:tc>
        <w:tc>
          <w:tcPr>
            <w:tcW w:w="1134" w:type="dxa"/>
            <w:vAlign w:val="center"/>
          </w:tcPr>
          <w:p w14:paraId="6D037DE8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3A0213B5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240733C9" w14:textId="77777777">
        <w:trPr>
          <w:trHeight w:val="1950"/>
          <w:jc w:val="center"/>
        </w:trPr>
        <w:tc>
          <w:tcPr>
            <w:tcW w:w="988" w:type="dxa"/>
            <w:vAlign w:val="center"/>
          </w:tcPr>
          <w:p w14:paraId="2A0764B8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992" w:type="dxa"/>
            <w:vMerge/>
            <w:vAlign w:val="center"/>
          </w:tcPr>
          <w:p w14:paraId="78AFA34F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0518FDF2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所属的连锁总部或集团总部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（含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所属集团内各控股公司）自有药品物流配送中心。</w:t>
            </w:r>
          </w:p>
        </w:tc>
        <w:tc>
          <w:tcPr>
            <w:tcW w:w="3454" w:type="dxa"/>
            <w:vAlign w:val="center"/>
          </w:tcPr>
          <w:p w14:paraId="2AD2E44A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物流配送中心：</w:t>
            </w:r>
          </w:p>
          <w:p w14:paraId="778CA746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）在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中山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市行政区域内的，得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</w:p>
          <w:p w14:paraId="69FA11B4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）在广东省内的，得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</w:p>
          <w:p w14:paraId="3986082C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）在广东省外，不得分。</w:t>
            </w:r>
          </w:p>
        </w:tc>
        <w:tc>
          <w:tcPr>
            <w:tcW w:w="1276" w:type="dxa"/>
            <w:vAlign w:val="center"/>
          </w:tcPr>
          <w:p w14:paraId="65F45B65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417" w:type="dxa"/>
            <w:vAlign w:val="center"/>
          </w:tcPr>
          <w:p w14:paraId="6A63229B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78338A3E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6C4B68FA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7559EDC7" w14:textId="77777777">
        <w:trPr>
          <w:trHeight w:val="3916"/>
          <w:jc w:val="center"/>
        </w:trPr>
        <w:tc>
          <w:tcPr>
            <w:tcW w:w="988" w:type="dxa"/>
            <w:vAlign w:val="center"/>
          </w:tcPr>
          <w:p w14:paraId="435A6E53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992" w:type="dxa"/>
            <w:vMerge w:val="restart"/>
            <w:vAlign w:val="center"/>
          </w:tcPr>
          <w:p w14:paraId="7F474ADA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服务</w:t>
            </w:r>
          </w:p>
          <w:p w14:paraId="6D0F9231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能力</w:t>
            </w:r>
          </w:p>
          <w:p w14:paraId="09684B87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  <w:t>39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3208" w:type="dxa"/>
            <w:vAlign w:val="center"/>
          </w:tcPr>
          <w:p w14:paraId="012638E9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申请药店（含所属连锁总部或集团总部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，只追溯到广东省范围内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）取得“双通道”药品目录内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50%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以上（含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50%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）品种。</w:t>
            </w:r>
          </w:p>
        </w:tc>
        <w:tc>
          <w:tcPr>
            <w:tcW w:w="3454" w:type="dxa"/>
            <w:vAlign w:val="center"/>
          </w:tcPr>
          <w:p w14:paraId="32620555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申请药店（含所属连锁总部或集团总部）在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申请递交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日取得“双通道”管理药品目录内药品的生产厂家或经销商授权证明材料（以通用名计），包括生产企业开具的书面证明或合同、协议书等。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已取得生产厂家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或经销商的授权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种类数量达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≥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60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%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，得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55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%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≤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＜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60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%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，得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50%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≤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＜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%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，得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1276" w:type="dxa"/>
            <w:vAlign w:val="center"/>
          </w:tcPr>
          <w:p w14:paraId="75735AAE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417" w:type="dxa"/>
            <w:vAlign w:val="center"/>
          </w:tcPr>
          <w:p w14:paraId="656AB185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4929178E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48796D11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79DE9802" w14:textId="77777777">
        <w:trPr>
          <w:trHeight w:val="2520"/>
          <w:jc w:val="center"/>
        </w:trPr>
        <w:tc>
          <w:tcPr>
            <w:tcW w:w="988" w:type="dxa"/>
            <w:vAlign w:val="center"/>
          </w:tcPr>
          <w:p w14:paraId="1603EBDF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992" w:type="dxa"/>
            <w:vMerge/>
            <w:vAlign w:val="center"/>
          </w:tcPr>
          <w:p w14:paraId="2F7C982A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59E6480A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具备完善的冷链管理储存制度。</w:t>
            </w:r>
          </w:p>
        </w:tc>
        <w:tc>
          <w:tcPr>
            <w:tcW w:w="3454" w:type="dxa"/>
            <w:vAlign w:val="center"/>
          </w:tcPr>
          <w:p w14:paraId="72669E17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冷链药品相关管理制度与标准操作规程：收货及验收管理；储存管理；零售包装、发运；设施设备验证管理。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）冷链药品验收规定、流程、及异常问题处理；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）冷链药品储存、温湿度实时监控设备、温湿度记录数据采集、保存和异常情况处理规定；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）冷链药品包装、发运以及冷链便携包的使用；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）冷链设施设备验证的管理规定；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冰排管理制度；</w:t>
            </w:r>
          </w:p>
          <w:p w14:paraId="65CBDF39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）每缺一项扣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分，扣完为止。描述欠清晰的酌情扣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1-2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分，无异常情况处理内容扣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分。未制定，不得分。</w:t>
            </w:r>
          </w:p>
        </w:tc>
        <w:tc>
          <w:tcPr>
            <w:tcW w:w="1276" w:type="dxa"/>
            <w:vAlign w:val="center"/>
          </w:tcPr>
          <w:p w14:paraId="593F8C1C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417" w:type="dxa"/>
            <w:vAlign w:val="center"/>
          </w:tcPr>
          <w:p w14:paraId="75EEF86B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6BBD1070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4F2C845C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1869B54D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6B7A75B7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992" w:type="dxa"/>
            <w:vMerge/>
            <w:vAlign w:val="center"/>
          </w:tcPr>
          <w:p w14:paraId="5402EA63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0EE6AA04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申请药店具备冷链药品配送服务能力。</w:t>
            </w:r>
          </w:p>
        </w:tc>
        <w:tc>
          <w:tcPr>
            <w:tcW w:w="3454" w:type="dxa"/>
            <w:vAlign w:val="center"/>
          </w:tcPr>
          <w:p w14:paraId="42150AF5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个月冷链药品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从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门店到顾客的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送货与接收记录。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提供冷链药品配送签收资料。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个月冷链药品送货次数超过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次，得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）其余得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）近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个月无冷链药品送货记录的，或资料提供不全的，不得分。</w:t>
            </w:r>
          </w:p>
        </w:tc>
        <w:tc>
          <w:tcPr>
            <w:tcW w:w="1276" w:type="dxa"/>
            <w:vAlign w:val="center"/>
          </w:tcPr>
          <w:p w14:paraId="3C5238FD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417" w:type="dxa"/>
            <w:vAlign w:val="center"/>
          </w:tcPr>
          <w:p w14:paraId="39610F89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5B9DDB80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51FAAA72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72E09B15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2A5D154E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14:paraId="50070C01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396464D2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具备应对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台风、暴雨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突发事件的应急处置方案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。</w:t>
            </w:r>
          </w:p>
        </w:tc>
        <w:tc>
          <w:tcPr>
            <w:tcW w:w="3454" w:type="dxa"/>
            <w:vAlign w:val="center"/>
          </w:tcPr>
          <w:p w14:paraId="5B7C99B0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没有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突发事件应急处置方案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的，不得分。</w:t>
            </w:r>
          </w:p>
        </w:tc>
        <w:tc>
          <w:tcPr>
            <w:tcW w:w="1276" w:type="dxa"/>
            <w:vAlign w:val="center"/>
          </w:tcPr>
          <w:p w14:paraId="5620E721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417" w:type="dxa"/>
            <w:vAlign w:val="center"/>
          </w:tcPr>
          <w:p w14:paraId="474FAFEF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571D4096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18438F64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64BEF552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2DAA77D4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14:paraId="7FC3DBF3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17D9F49D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申请药店与定点医疗机构的距离。</w:t>
            </w:r>
          </w:p>
        </w:tc>
        <w:tc>
          <w:tcPr>
            <w:tcW w:w="3454" w:type="dxa"/>
            <w:vAlign w:val="center"/>
          </w:tcPr>
          <w:p w14:paraId="1F89DDEA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查看申请药店与“双通道”医疗机构的导航地图截图。</w:t>
            </w:r>
          </w:p>
          <w:p w14:paraId="07131A4D" w14:textId="77777777" w:rsidR="00324874" w:rsidRDefault="001A3210">
            <w:pPr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步行距离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0.5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公里之内的得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</w:p>
          <w:p w14:paraId="02E4A99C" w14:textId="77777777" w:rsidR="00324874" w:rsidRDefault="001A3210">
            <w:pPr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步行距离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公里之内的得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</w:p>
          <w:p w14:paraId="194B6A8A" w14:textId="77777777" w:rsidR="00324874" w:rsidRDefault="001A3210">
            <w:pPr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步行距离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1.5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公里之内的得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</w:p>
          <w:p w14:paraId="7D42F1B2" w14:textId="77777777" w:rsidR="00324874" w:rsidRDefault="001A3210">
            <w:pPr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步行距离＞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1.5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公里的，不得分。</w:t>
            </w:r>
          </w:p>
        </w:tc>
        <w:tc>
          <w:tcPr>
            <w:tcW w:w="1276" w:type="dxa"/>
            <w:vAlign w:val="center"/>
          </w:tcPr>
          <w:p w14:paraId="0C3F2809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6DEFAA2C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1E605013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6FECA691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11B8960E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0CD63351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14:paraId="107B6CD1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6A0A3EDA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药店具有送药上门能力。</w:t>
            </w:r>
          </w:p>
        </w:tc>
        <w:tc>
          <w:tcPr>
            <w:tcW w:w="3454" w:type="dxa"/>
            <w:vAlign w:val="center"/>
          </w:tcPr>
          <w:p w14:paraId="261A227D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药店具有满足</w:t>
            </w:r>
            <w:r>
              <w:rPr>
                <w:rFonts w:asciiTheme="minorEastAsia" w:hAnsiTheme="minorEastAsia" w:cstheme="minorEastAsia" w:hint="eastAsia"/>
                <w:szCs w:val="21"/>
              </w:rPr>
              <w:t>“</w:t>
            </w:r>
            <w:r>
              <w:rPr>
                <w:rFonts w:asciiTheme="minorEastAsia" w:hAnsiTheme="minorEastAsia" w:cstheme="minorEastAsia" w:hint="eastAsia"/>
                <w:szCs w:val="21"/>
              </w:rPr>
              <w:t>双通道</w:t>
            </w:r>
            <w:r>
              <w:rPr>
                <w:rFonts w:asciiTheme="minorEastAsia" w:hAnsiTheme="minorEastAsia" w:cstheme="minorEastAsia" w:hint="eastAsia"/>
                <w:szCs w:val="21"/>
              </w:rPr>
              <w:t>”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药品配送上门的能力，不满足要求的，不得分。</w:t>
            </w:r>
          </w:p>
        </w:tc>
        <w:tc>
          <w:tcPr>
            <w:tcW w:w="1276" w:type="dxa"/>
            <w:vAlign w:val="center"/>
          </w:tcPr>
          <w:p w14:paraId="53A9E176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373B53B8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确定名单后现场勘查</w:t>
            </w:r>
          </w:p>
        </w:tc>
        <w:tc>
          <w:tcPr>
            <w:tcW w:w="1134" w:type="dxa"/>
            <w:vAlign w:val="center"/>
          </w:tcPr>
          <w:p w14:paraId="7A078A3D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0E4F428B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704AD4C2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71615C78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F254913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人员</w:t>
            </w:r>
          </w:p>
          <w:p w14:paraId="147143E2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资质</w:t>
            </w:r>
          </w:p>
          <w:p w14:paraId="5845F0BE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与</w:t>
            </w:r>
          </w:p>
          <w:p w14:paraId="0E319958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配备</w:t>
            </w:r>
          </w:p>
          <w:p w14:paraId="1FD48329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3208" w:type="dxa"/>
            <w:vAlign w:val="center"/>
          </w:tcPr>
          <w:p w14:paraId="36B88C98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药店人员配置数量齐全，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处方审核、调配、核对人员应当符合要求。</w:t>
            </w:r>
          </w:p>
        </w:tc>
        <w:tc>
          <w:tcPr>
            <w:tcW w:w="3454" w:type="dxa"/>
            <w:vAlign w:val="center"/>
          </w:tcPr>
          <w:p w14:paraId="60F66EBF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不满足要求的，不得分。</w:t>
            </w:r>
          </w:p>
        </w:tc>
        <w:tc>
          <w:tcPr>
            <w:tcW w:w="1276" w:type="dxa"/>
            <w:vAlign w:val="center"/>
          </w:tcPr>
          <w:p w14:paraId="690372D2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417" w:type="dxa"/>
            <w:vAlign w:val="center"/>
          </w:tcPr>
          <w:p w14:paraId="4458CF89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确定名单后现场勘查</w:t>
            </w:r>
          </w:p>
        </w:tc>
        <w:tc>
          <w:tcPr>
            <w:tcW w:w="1134" w:type="dxa"/>
            <w:vAlign w:val="center"/>
          </w:tcPr>
          <w:p w14:paraId="1E1E8E2B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1540C178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67A3762A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01D11137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14:paraId="4C8E0C79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00815F38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接触药品的人员应</w:t>
            </w:r>
            <w:r>
              <w:rPr>
                <w:rFonts w:asciiTheme="minorEastAsia" w:hAnsiTheme="minorEastAsia" w:cstheme="minorEastAsia" w:hint="eastAsia"/>
                <w:szCs w:val="21"/>
              </w:rPr>
              <w:t>按规定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建立健康档案，发现患有传染病或者其他可能污染药品的疾病的，应调离岗位。</w:t>
            </w:r>
          </w:p>
        </w:tc>
        <w:tc>
          <w:tcPr>
            <w:tcW w:w="3454" w:type="dxa"/>
            <w:vAlign w:val="center"/>
          </w:tcPr>
          <w:p w14:paraId="7E2EA8FA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每发现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名从业人员未能提供有效健康证明或未建立健康档案的扣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分，扣完为止。</w:t>
            </w:r>
          </w:p>
        </w:tc>
        <w:tc>
          <w:tcPr>
            <w:tcW w:w="1276" w:type="dxa"/>
            <w:vAlign w:val="center"/>
          </w:tcPr>
          <w:p w14:paraId="5F158385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417" w:type="dxa"/>
            <w:vAlign w:val="center"/>
          </w:tcPr>
          <w:p w14:paraId="57635EB4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复核</w:t>
            </w:r>
          </w:p>
        </w:tc>
        <w:tc>
          <w:tcPr>
            <w:tcW w:w="1134" w:type="dxa"/>
            <w:vAlign w:val="center"/>
          </w:tcPr>
          <w:p w14:paraId="1A3513FB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014C4FF1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126E8975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04F90A25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14:paraId="6106E70F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60DB1E70" w14:textId="77777777" w:rsidR="00324874" w:rsidRDefault="001A3210">
            <w:pPr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药店工作人员应遵守处方管理制度和处方调配操作规程。</w:t>
            </w:r>
          </w:p>
        </w:tc>
        <w:tc>
          <w:tcPr>
            <w:tcW w:w="3454" w:type="dxa"/>
            <w:vAlign w:val="center"/>
          </w:tcPr>
          <w:p w14:paraId="512B8F6B" w14:textId="77777777" w:rsidR="00324874" w:rsidRDefault="001A3210">
            <w:pPr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每发现一起未按要求销售处方药的扣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分，扣完为止。</w:t>
            </w:r>
          </w:p>
        </w:tc>
        <w:tc>
          <w:tcPr>
            <w:tcW w:w="1276" w:type="dxa"/>
            <w:vAlign w:val="center"/>
          </w:tcPr>
          <w:p w14:paraId="0F29E8D2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417" w:type="dxa"/>
            <w:vAlign w:val="center"/>
          </w:tcPr>
          <w:p w14:paraId="55D577CF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796230E3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46FA7BDC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0FC0A30B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359BFB83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lastRenderedPageBreak/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992" w:type="dxa"/>
            <w:vMerge/>
            <w:vAlign w:val="center"/>
          </w:tcPr>
          <w:p w14:paraId="3C0C984C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4A3B6EEE" w14:textId="77777777" w:rsidR="00324874" w:rsidRDefault="001A321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药店人员应当熟悉药品质量管理法律法规，并接受市场监管局等主管部门的药事管理法律法规和专业知识培训。</w:t>
            </w:r>
          </w:p>
        </w:tc>
        <w:tc>
          <w:tcPr>
            <w:tcW w:w="3454" w:type="dxa"/>
            <w:vAlign w:val="center"/>
          </w:tcPr>
          <w:p w14:paraId="651B79B3" w14:textId="77777777" w:rsidR="00324874" w:rsidRDefault="001A321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每发现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名从业人员不熟悉法律法规的扣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分，未按要求接受培训的扣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分，扣完为止。</w:t>
            </w:r>
          </w:p>
        </w:tc>
        <w:tc>
          <w:tcPr>
            <w:tcW w:w="1276" w:type="dxa"/>
            <w:vAlign w:val="center"/>
          </w:tcPr>
          <w:p w14:paraId="6A18AEAD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417" w:type="dxa"/>
            <w:vAlign w:val="center"/>
          </w:tcPr>
          <w:p w14:paraId="4FF21D34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1657457C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2D11679C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6A447DA0" w14:textId="77777777">
        <w:trPr>
          <w:trHeight w:val="800"/>
          <w:jc w:val="center"/>
        </w:trPr>
        <w:tc>
          <w:tcPr>
            <w:tcW w:w="988" w:type="dxa"/>
            <w:vAlign w:val="center"/>
          </w:tcPr>
          <w:p w14:paraId="6C3B8887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992" w:type="dxa"/>
            <w:vAlign w:val="center"/>
          </w:tcPr>
          <w:p w14:paraId="42F19156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企业</w:t>
            </w:r>
          </w:p>
          <w:p w14:paraId="48617878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社会</w:t>
            </w:r>
          </w:p>
          <w:p w14:paraId="5E576078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责任</w:t>
            </w:r>
          </w:p>
          <w:p w14:paraId="591CC35E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担当</w:t>
            </w:r>
          </w:p>
          <w:p w14:paraId="3F7FDCF1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3208" w:type="dxa"/>
            <w:vAlign w:val="center"/>
          </w:tcPr>
          <w:p w14:paraId="274BE3B1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单体药店、零售药店所属连锁总部（或集团总部）：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  <w:t>1.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在自然灾害、事故灾难及突发公共卫生事件中，通过捐赠款物或志愿服务等方式参加公益救助及帮扶项目情况；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  <w:t>2.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是否属于广东省省级或者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中山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市市级短缺药品承储企业。</w:t>
            </w:r>
          </w:p>
        </w:tc>
        <w:tc>
          <w:tcPr>
            <w:tcW w:w="3454" w:type="dxa"/>
            <w:vAlign w:val="center"/>
          </w:tcPr>
          <w:p w14:paraId="256AC47C" w14:textId="77777777" w:rsidR="00324874" w:rsidRDefault="001A3210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每个公益救助帮扶项目得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0.5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分，总分不超过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分；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  <w:t>2.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属于广东省省级或者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中山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市市级短缺药承储企业，得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分。</w:t>
            </w:r>
          </w:p>
        </w:tc>
        <w:tc>
          <w:tcPr>
            <w:tcW w:w="1276" w:type="dxa"/>
            <w:vAlign w:val="center"/>
          </w:tcPr>
          <w:p w14:paraId="0C0091F5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14:paraId="0CEC0D5E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查看资料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确定名单后复核</w:t>
            </w:r>
          </w:p>
        </w:tc>
        <w:tc>
          <w:tcPr>
            <w:tcW w:w="1134" w:type="dxa"/>
            <w:vAlign w:val="center"/>
          </w:tcPr>
          <w:p w14:paraId="56C98CD0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0D2BF436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  <w:tr w:rsidR="00324874" w14:paraId="3E5E31AA" w14:textId="77777777">
        <w:trPr>
          <w:trHeight w:val="1180"/>
          <w:jc w:val="center"/>
        </w:trPr>
        <w:tc>
          <w:tcPr>
            <w:tcW w:w="988" w:type="dxa"/>
            <w:vAlign w:val="center"/>
          </w:tcPr>
          <w:p w14:paraId="6094644D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992" w:type="dxa"/>
            <w:vAlign w:val="center"/>
          </w:tcPr>
          <w:p w14:paraId="37D8BD82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vAlign w:val="center"/>
          </w:tcPr>
          <w:p w14:paraId="10EAEE69" w14:textId="77777777" w:rsidR="00324874" w:rsidRDefault="00324874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3454" w:type="dxa"/>
            <w:vAlign w:val="center"/>
          </w:tcPr>
          <w:p w14:paraId="1FC8DEE1" w14:textId="77777777" w:rsidR="00324874" w:rsidRDefault="00324874">
            <w:pPr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781B2212" w14:textId="77777777" w:rsidR="00324874" w:rsidRDefault="001A321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417" w:type="dxa"/>
            <w:vAlign w:val="center"/>
          </w:tcPr>
          <w:p w14:paraId="43F6FF8E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75B6BD87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  <w:tc>
          <w:tcPr>
            <w:tcW w:w="759" w:type="dxa"/>
            <w:vAlign w:val="center"/>
          </w:tcPr>
          <w:p w14:paraId="7E91E72A" w14:textId="77777777" w:rsidR="00324874" w:rsidRDefault="00324874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  <w:lang w:bidi="ar"/>
              </w:rPr>
            </w:pPr>
          </w:p>
        </w:tc>
      </w:tr>
    </w:tbl>
    <w:p w14:paraId="3EA426E4" w14:textId="77777777" w:rsidR="00324874" w:rsidRDefault="00324874"/>
    <w:p w14:paraId="3A74D464" w14:textId="77777777" w:rsidR="00324874" w:rsidRDefault="00324874">
      <w:pPr>
        <w:rPr>
          <w:rFonts w:eastAsia="仿宋_GB2312" w:cs="仿宋_GB2312"/>
          <w:sz w:val="32"/>
          <w:szCs w:val="32"/>
        </w:rPr>
      </w:pPr>
    </w:p>
    <w:sectPr w:rsidR="003248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8A5D5" w14:textId="77777777" w:rsidR="001A3210" w:rsidRDefault="001A3210" w:rsidP="00E8365B">
      <w:r>
        <w:separator/>
      </w:r>
    </w:p>
  </w:endnote>
  <w:endnote w:type="continuationSeparator" w:id="0">
    <w:p w14:paraId="446C0C67" w14:textId="77777777" w:rsidR="001A3210" w:rsidRDefault="001A3210" w:rsidP="00E8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A567" w14:textId="77777777" w:rsidR="001A3210" w:rsidRDefault="001A3210" w:rsidP="00E8365B">
      <w:r>
        <w:separator/>
      </w:r>
    </w:p>
  </w:footnote>
  <w:footnote w:type="continuationSeparator" w:id="0">
    <w:p w14:paraId="3CE8ADC9" w14:textId="77777777" w:rsidR="001A3210" w:rsidRDefault="001A3210" w:rsidP="00E8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1DD7"/>
    <w:multiLevelType w:val="singleLevel"/>
    <w:tmpl w:val="097D1DD7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614D99C7"/>
    <w:multiLevelType w:val="singleLevel"/>
    <w:tmpl w:val="614D99C7"/>
    <w:lvl w:ilvl="0">
      <w:start w:val="1"/>
      <w:numFmt w:val="decimal"/>
      <w:suff w:val="nothing"/>
      <w:lvlText w:val="（%1）"/>
      <w:lvlJc w:val="left"/>
    </w:lvl>
  </w:abstractNum>
  <w:num w:numId="1" w16cid:durableId="840313690">
    <w:abstractNumId w:val="0"/>
  </w:num>
  <w:num w:numId="2" w16cid:durableId="1313481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74"/>
    <w:rsid w:val="001A3210"/>
    <w:rsid w:val="00324874"/>
    <w:rsid w:val="00E8365B"/>
    <w:rsid w:val="131126B2"/>
    <w:rsid w:val="180919A2"/>
    <w:rsid w:val="1E3018FA"/>
    <w:rsid w:val="225A0EC9"/>
    <w:rsid w:val="23175314"/>
    <w:rsid w:val="2465562F"/>
    <w:rsid w:val="2E107E1A"/>
    <w:rsid w:val="323F12BA"/>
    <w:rsid w:val="35560764"/>
    <w:rsid w:val="3A14084A"/>
    <w:rsid w:val="3C181AD1"/>
    <w:rsid w:val="407111FC"/>
    <w:rsid w:val="47187BE7"/>
    <w:rsid w:val="55E35AFA"/>
    <w:rsid w:val="589C48B9"/>
    <w:rsid w:val="5A0B5CDF"/>
    <w:rsid w:val="5BB06B60"/>
    <w:rsid w:val="628100B3"/>
    <w:rsid w:val="65FE30B5"/>
    <w:rsid w:val="67BC0AE2"/>
    <w:rsid w:val="69BA33D5"/>
    <w:rsid w:val="6C8D01B1"/>
    <w:rsid w:val="6F711A10"/>
    <w:rsid w:val="74723F18"/>
    <w:rsid w:val="7CE41C53"/>
    <w:rsid w:val="7EC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EA4DB"/>
  <w15:docId w15:val="{0E7EDE69-6384-4B55-BDE7-27E364D2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83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8365B"/>
    <w:rPr>
      <w:rFonts w:ascii="Calibri" w:eastAsia="宋体" w:hAnsi="Calibri" w:cs="宋体"/>
      <w:kern w:val="2"/>
      <w:sz w:val="18"/>
      <w:szCs w:val="18"/>
    </w:rPr>
  </w:style>
  <w:style w:type="paragraph" w:styleId="a7">
    <w:name w:val="Revision"/>
    <w:hidden/>
    <w:uiPriority w:val="99"/>
    <w:semiHidden/>
    <w:rsid w:val="00E8365B"/>
    <w:rPr>
      <w:rFonts w:ascii="Calibri" w:eastAsia="宋体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 嘉敏</cp:lastModifiedBy>
  <cp:revision>2</cp:revision>
  <dcterms:created xsi:type="dcterms:W3CDTF">2022-05-24T09:19:00Z</dcterms:created>
  <dcterms:modified xsi:type="dcterms:W3CDTF">2022-05-24T09:19:00Z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