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1-2</w:t>
      </w:r>
    </w:p>
    <w:p>
      <w:pPr>
        <w:pStyle w:val="2"/>
        <w:spacing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医保政策修订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聘请第三方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测算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服务评分细则</w:t>
      </w:r>
    </w:p>
    <w:tbl>
      <w:tblPr>
        <w:tblStyle w:val="4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660"/>
        <w:gridCol w:w="1077"/>
        <w:gridCol w:w="5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评审项目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分数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评议内容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对用户需求理解的准确性、合理性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根据项目理解及需求分析进行评审，包括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不限于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服务总体设想、服务宗旨、本项目重点难点及解决方案等。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对用户需求理解的准确性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非常高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、合理性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的得1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对用户需求理解的准确性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较高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、合理性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一般得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对用户需求理解的准确性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一般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、合理性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较差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的得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4.未提供方案不得分。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测算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服务方案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根据第三方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测算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服务方案进行评审，包括投标人对采购人管理现状等情况的理解，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测算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流程和环节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结果报告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等方面是否完整、合理等。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1.测算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服务方案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非常详细、清晰，可行性高的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得1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比较详细、清晰，可行性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一般的得8分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方案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不详细、清晰，可行性较差的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4.未提供方案不得分。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根据项目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资质进行评审；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具有</w:t>
            </w:r>
            <w:bookmarkStart w:id="0" w:name="OLE_LINK1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计算机或医学类</w:t>
            </w:r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以上硕士学位的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以上研究生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  <w:t>学历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具有人力资源和社会保障部门颁发的高级信息系统项目管理师证书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3.具有中国电子技术标准化研究院颁发的IT服务项目经理证书的，得3分；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4.具有中国信息安全测评中心颁发的注册信息安全工程师证书的，得3分。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需提供相关证书复印件及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开标当月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前三个月由供应商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社保的证明文件，不提供不得分）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7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33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项目团队资质与能力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人员具备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人力资源和社会保障部门颁发的信息系统管理工程师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、软件设计师、数据库管理工程师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证书的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，每个得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分，最高得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注：人员证书不可重复得分，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以上人员需提供相应的资格证书及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开标当月前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三个月由供应商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社保的证明文件，不提供不得分）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57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36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项目数据人员至少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人医学专业，并具有第三方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医保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从业经历2年以上，提供1名得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分，本项最高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需提供学历证书、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客户盖章的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从业经历证明文件及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开标当月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前三个月由供应商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社保的证明文件，不提供不得分）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服务经验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投标供应商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年以来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基本医疗保险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项目业绩进行评价：每1个得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分，最多16分；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注：需提供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项目合同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复印件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关键页（含签订合同双方的单位名称、合同项目名称、签订合同双方的落款盖章、签订日期）复印件，并加盖公章，不提供不得分）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客户评价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上述被有效计分的的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业绩提供相应的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客户评价优秀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满意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或验收合格的情况进行评审；每个项目得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分，最多计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bookmarkStart w:id="1" w:name="_GoBack"/>
            <w:bookmarkEnd w:id="1"/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需提供业主单位盖章的客户评价或验收报告、并加盖投标人单位公章，否则不得分）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33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投标报价得分＝（评标基准价/投标报价）×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10，四舍五入，保留至个位数。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【注：满足招标文件要求且投标价格最低的投标报价为评标基准价。】最低报价不是中标的唯一依据。因落实政府采购政策进行价格调整的，以调整后的价格计算评标基准价和投标报价。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5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25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得分总计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</w:rPr>
      </w:pP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rade Gothic LT Std Cn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81A5C"/>
    <w:rsid w:val="0CEF027A"/>
    <w:rsid w:val="1E181A5C"/>
    <w:rsid w:val="2FDB204F"/>
    <w:rsid w:val="4ED10D16"/>
    <w:rsid w:val="5BE3BFD0"/>
    <w:rsid w:val="5BFDAE06"/>
    <w:rsid w:val="5DFBA016"/>
    <w:rsid w:val="5DFDB672"/>
    <w:rsid w:val="5FAFC5E4"/>
    <w:rsid w:val="6EEEE7DB"/>
    <w:rsid w:val="78FD9F74"/>
    <w:rsid w:val="7ADE5CEB"/>
    <w:rsid w:val="7D1D3CCE"/>
    <w:rsid w:val="7E7D351A"/>
    <w:rsid w:val="7EED23CF"/>
    <w:rsid w:val="7EFF8981"/>
    <w:rsid w:val="9ADC2EEB"/>
    <w:rsid w:val="AFB941B9"/>
    <w:rsid w:val="B99A6BC7"/>
    <w:rsid w:val="C3AF0D4C"/>
    <w:rsid w:val="D35FB045"/>
    <w:rsid w:val="D897B41A"/>
    <w:rsid w:val="DFF902C2"/>
    <w:rsid w:val="E7DF3544"/>
    <w:rsid w:val="EF1FF9DF"/>
    <w:rsid w:val="EFB7ECC3"/>
    <w:rsid w:val="EFFF10A3"/>
    <w:rsid w:val="F3DF0E27"/>
    <w:rsid w:val="FAC7BB38"/>
    <w:rsid w:val="FB2FFD38"/>
    <w:rsid w:val="FB7F5469"/>
    <w:rsid w:val="FC8D9D9D"/>
    <w:rsid w:val="FCA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rade Gothic LT Std Cn" w:hAnsi="Calibri" w:eastAsia="Times New Roman" w:cs="Trade Gothic LT Std C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annotation reference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2025-04-02T19:54:00Z</dcterms:created>
  <dc:creator>Beautiful Life</dc:creator>
  <cp:lastModifiedBy>huangshaoxiong</cp:lastModifiedBy>
  <dcterms:modified xsi:type="dcterms:W3CDTF">2025-04-27T15:31:52Z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D6158E0AD25A164C0A83F4675BB7B3DA</vt:lpwstr>
  </property>
  <property fmtid="{D5CDD505-2E9C-101B-9397-08002B2CF9AE}" pid="4" name="KSOTemplateDocerSaveRecord">
    <vt:lpwstr>eyJoZGlkIjoiNmEzNjJkODkwMzNiZjdhMGIzOWMzMjFjNTU1ZGQ4NWQiLCJ1c2VySWQiOiIyNzAwMzcxNzkifQ==</vt:lpwstr>
  </property>
</Properties>
</file>