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中山市医疗保障局2024年打击欺诈骗保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14:ligatures w14:val="none"/>
        </w:rPr>
        <w:t>专项监督检查辅助服务项目内容及需求</w:t>
      </w:r>
    </w:p>
    <w:p/>
    <w:p>
      <w:pPr>
        <w:pStyle w:val="5"/>
        <w:widowControl/>
        <w:spacing w:line="574" w:lineRule="exact"/>
        <w:ind w:left="1606" w:hanging="1606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中山市医疗保障局2024年打击欺诈骗保专项监督检查辅助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>
      <w:pPr>
        <w:pStyle w:val="5"/>
        <w:widowControl/>
        <w:spacing w:line="574" w:lineRule="exact"/>
        <w:ind w:left="1606" w:hanging="1606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1项</w:t>
      </w:r>
    </w:p>
    <w:p>
      <w:pPr>
        <w:pStyle w:val="5"/>
        <w:widowControl/>
        <w:spacing w:line="574" w:lineRule="exact"/>
        <w:ind w:left="1606" w:hanging="1606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ascii="仿宋_GB2312" w:hAnsi="仿宋_GB2312" w:eastAsia="仿宋_GB2312" w:cs="仿宋_GB2312"/>
          <w:sz w:val="32"/>
          <w:szCs w:val="32"/>
        </w:rPr>
        <w:t>万元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一、项目实施时间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拟定于2024年12月10日至2025年1月中旬期间集中开展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val="en-US" w:eastAsia="zh-CN"/>
        </w:rPr>
        <w:t>（具体按实际实施情况为准）。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  <w14:ligatures w14:val="none"/>
        </w:rPr>
        <w:t>二、服务内容及需求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（一）专项监督检查对象：中山市医疗保障局选定的30家有住院服务的定点医疗机构，包括二级医院12家、一级医院9家、未定级医疗机构9家。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（二）按照中山市医疗保障局专项监督检查工作需要，对指定定点医疗机构疑点数据进行分析，将分析后的疑似违规结算数据反馈中山市医疗保障局，并为中山市医疗保障局开展专项监督检查时提供辅助服务。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　　（三）按照中山市2024年打击欺诈骗保专项监督检查辅助服务项目工作需求，须配备2个以上专项检查小组分别开展检查工作，每家检查需配备至少4名专业人员参与，其中应当包括至少1名信息专家、1名财务专家、1名医学专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　　（四）本项目不允许分包、转包，不接受联合体服务。</w:t>
      </w:r>
    </w:p>
    <w:p>
      <w:pPr>
        <w:pStyle w:val="6"/>
        <w:numPr>
          <w:ilvl w:val="0"/>
          <w:numId w:val="0"/>
        </w:numPr>
        <w:ind w:firstLine="688" w:firstLineChars="200"/>
        <w:rPr>
          <w:rFonts w:hint="eastAsia" w:ascii="黑体" w:hAnsi="黑体" w:eastAsia="黑体" w:cs="黑体"/>
          <w:snapToGrid w:val="0"/>
          <w:color w:val="000000"/>
          <w:spacing w:val="12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="黑体"/>
          <w:snapToGrid w:val="0"/>
          <w:color w:val="000000"/>
          <w:spacing w:val="12"/>
          <w:kern w:val="2"/>
          <w:sz w:val="32"/>
          <w:szCs w:val="32"/>
          <w:lang w:val="en-US" w:eastAsia="zh-CN" w:bidi="ar-SA"/>
          <w14:ligatures w14:val="standardContextual"/>
        </w:rPr>
        <w:t>三、响应文件要求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（一）提供所需的供应商资格文件；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standardContextual"/>
        </w:rPr>
        <w:t>（二）按本项目评分表所列内容提供相关材料。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四、供应商确定方式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napToGrid w:val="0"/>
          <w:color w:val="000000"/>
          <w:spacing w:val="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由中山市医疗保障局通过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highlight w:val="none"/>
          <w:lang w:val="en-US" w:eastAsia="zh-CN"/>
        </w:rPr>
        <w:t>联审小组进行市场比价的采购方式确定，具体比价规则见项目评分表。比价时，供应商提交的服务方案等材料无需现场讲解，由联审小组现场审阅评分。</w:t>
      </w:r>
    </w:p>
    <w:p>
      <w:pPr>
        <w:pStyle w:val="2"/>
        <w:ind w:left="0" w:leftChars="0" w:firstLine="688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snapToGrid w:val="0"/>
          <w:color w:val="000000"/>
          <w:spacing w:val="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none"/>
        </w:rPr>
        <w:t>付款方式</w:t>
      </w:r>
    </w:p>
    <w:p>
      <w:pPr>
        <w:pStyle w:val="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银行转帐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分期付款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方式，按工作进度付款。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  <w14:ligatures w14:val="none"/>
        </w:rPr>
        <w:t>六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  <w14:ligatures w14:val="none"/>
        </w:rPr>
        <w:t>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88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报价为全包价，报价不得高于采购预算，否则将视为无效报价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报价包括但不限于第三方服务人员的人力成本、医疗服务专家劳务费、交通费、电脑等设备租赁费、外出检查误餐费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、税费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所有的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费用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货币为人民币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人以本方案为基准进行报价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sz w:val="32"/>
          <w:szCs w:val="32"/>
        </w:rPr>
        <w:t>后续服务范围如有扩充或调整，另行磋商解决。</w:t>
      </w:r>
    </w:p>
    <w:sectPr>
      <w:footerReference r:id="rId3" w:type="default"/>
      <w:pgSz w:w="11906" w:h="16838"/>
      <w:pgMar w:top="1440" w:right="1463" w:bottom="1440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DQHUqaWFpZmFko6SsGpxcWZ+XkgBYa1AO8Sm5csAAAA"/>
  </w:docVars>
  <w:rsids>
    <w:rsidRoot w:val="00804EF1"/>
    <w:rsid w:val="0000073E"/>
    <w:rsid w:val="0023518B"/>
    <w:rsid w:val="00347055"/>
    <w:rsid w:val="005D767D"/>
    <w:rsid w:val="00804EF1"/>
    <w:rsid w:val="008651C4"/>
    <w:rsid w:val="00A46CF4"/>
    <w:rsid w:val="03B40AFE"/>
    <w:rsid w:val="067900BC"/>
    <w:rsid w:val="068A3970"/>
    <w:rsid w:val="07FC74DD"/>
    <w:rsid w:val="0B7E475F"/>
    <w:rsid w:val="0C853B1A"/>
    <w:rsid w:val="102D77F5"/>
    <w:rsid w:val="109D48A4"/>
    <w:rsid w:val="19FE408F"/>
    <w:rsid w:val="234A47D2"/>
    <w:rsid w:val="262450D4"/>
    <w:rsid w:val="2C70392E"/>
    <w:rsid w:val="331C4E8F"/>
    <w:rsid w:val="35E6769F"/>
    <w:rsid w:val="3BF42F87"/>
    <w:rsid w:val="4EE94503"/>
    <w:rsid w:val="52C2787B"/>
    <w:rsid w:val="52EA62F7"/>
    <w:rsid w:val="53C86175"/>
    <w:rsid w:val="53E75AFD"/>
    <w:rsid w:val="550F02E4"/>
    <w:rsid w:val="558237AF"/>
    <w:rsid w:val="56A40C8F"/>
    <w:rsid w:val="586B659D"/>
    <w:rsid w:val="5A22303A"/>
    <w:rsid w:val="5B152026"/>
    <w:rsid w:val="6257772F"/>
    <w:rsid w:val="674C5DC4"/>
    <w:rsid w:val="6B102584"/>
    <w:rsid w:val="6B997B22"/>
    <w:rsid w:val="7E8A1B2B"/>
    <w:rsid w:val="7E8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link w:val="15"/>
    <w:qFormat/>
    <w:uiPriority w:val="0"/>
    <w:pPr>
      <w:spacing w:after="120"/>
    </w:pPr>
    <w:rPr>
      <w:rFonts w:ascii="Calibri" w:hAnsi="Calibri" w:eastAsia="宋体" w:cs="Times New Roman"/>
      <w:szCs w:val="24"/>
      <w14:ligatures w14:val="none"/>
    </w:r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kern w:val="2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widowControl w:val="0"/>
      <w:snapToGrid w:val="0"/>
      <w:spacing w:line="360" w:lineRule="auto"/>
    </w:pPr>
    <w:rPr>
      <w:kern w:val="2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正文文本 字符"/>
    <w:basedOn w:val="12"/>
    <w:link w:val="5"/>
    <w:qFormat/>
    <w:uiPriority w:val="0"/>
    <w:rPr>
      <w:rFonts w:ascii="Calibri" w:hAnsi="Calibri" w:eastAsia="宋体" w:cs="Times New Roman"/>
      <w:szCs w:val="24"/>
      <w14:ligatures w14:val="none"/>
    </w:rPr>
  </w:style>
  <w:style w:type="character" w:customStyle="1" w:styleId="16">
    <w:name w:val="fontstyle01"/>
    <w:basedOn w:val="12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1518</Characters>
  <Lines>12</Lines>
  <Paragraphs>3</Paragraphs>
  <TotalTime>10</TotalTime>
  <ScaleCrop>false</ScaleCrop>
  <LinksUpToDate>false</LinksUpToDate>
  <CharactersWithSpaces>1781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2024-04-26T10:42:00Z</dcterms:created>
  <dc:creator>Windows 用户</dc:creator>
  <cp:lastModifiedBy>罗容涛</cp:lastModifiedBy>
  <cp:lastPrinted>2024-05-10T02:29:00Z</cp:lastPrinted>
  <dcterms:modified xsi:type="dcterms:W3CDTF">2024-11-29T01:50:44Z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E731B94B880E492AAA97E104734AE1A4</vt:lpwstr>
  </property>
</Properties>
</file>