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C80" w14:textId="77777777" w:rsidR="00EB59BE" w:rsidRDefault="00EB59BE" w:rsidP="00EB59BE">
      <w:pPr>
        <w:widowControl/>
        <w:adjustRightInd w:val="0"/>
        <w:snapToGrid w:val="0"/>
        <w:spacing w:line="240" w:lineRule="atLeast"/>
        <w:jc w:val="left"/>
        <w:rPr>
          <w:rFonts w:ascii="黑体" w:eastAsia="黑体" w:hAnsi="黑体" w:cs="黑体"/>
          <w:kern w:val="0"/>
          <w:sz w:val="32"/>
          <w:szCs w:val="32"/>
        </w:rPr>
      </w:pPr>
      <w:r>
        <w:rPr>
          <w:rFonts w:ascii="黑体" w:eastAsia="黑体" w:hAnsi="黑体" w:cs="黑体" w:hint="eastAsia"/>
          <w:kern w:val="0"/>
          <w:sz w:val="32"/>
          <w:szCs w:val="32"/>
        </w:rPr>
        <w:t>附件2：</w:t>
      </w:r>
    </w:p>
    <w:p w14:paraId="69A2FCB0" w14:textId="77777777" w:rsidR="00EB59BE" w:rsidRDefault="00EB59BE" w:rsidP="00EB59BE">
      <w:pPr>
        <w:widowControl/>
        <w:adjustRightInd w:val="0"/>
        <w:snapToGrid w:val="0"/>
        <w:spacing w:line="240" w:lineRule="atLeast"/>
        <w:jc w:val="left"/>
        <w:rPr>
          <w:rFonts w:ascii="黑体" w:eastAsia="黑体" w:hAnsi="黑体" w:cs="黑体"/>
          <w:kern w:val="0"/>
          <w:sz w:val="32"/>
          <w:szCs w:val="32"/>
        </w:rPr>
      </w:pPr>
    </w:p>
    <w:p w14:paraId="2CC4E53F" w14:textId="77777777" w:rsidR="00EB59BE" w:rsidRDefault="00EB59BE" w:rsidP="00EB59BE">
      <w:pPr>
        <w:widowControl/>
        <w:adjustRightInd w:val="0"/>
        <w:snapToGrid w:val="0"/>
        <w:spacing w:line="240" w:lineRule="atLeast"/>
        <w:jc w:val="center"/>
        <w:rPr>
          <w:rFonts w:ascii="方正小标宋简体" w:eastAsia="方正小标宋简体" w:hAnsi="宋体"/>
          <w:kern w:val="0"/>
          <w:sz w:val="36"/>
          <w:szCs w:val="36"/>
        </w:rPr>
      </w:pPr>
      <w:r>
        <w:rPr>
          <w:rFonts w:ascii="仿宋" w:eastAsia="仿宋" w:hAnsi="仿宋" w:cs="仿宋" w:hint="eastAsia"/>
          <w:b/>
          <w:bCs/>
          <w:kern w:val="0"/>
          <w:sz w:val="36"/>
          <w:szCs w:val="36"/>
        </w:rPr>
        <w:t>中山市“双通道”定点零售药店承诺书</w:t>
      </w:r>
    </w:p>
    <w:p w14:paraId="189B7EA7" w14:textId="77777777" w:rsidR="00EB59BE" w:rsidRDefault="00EB59BE" w:rsidP="00EB59BE">
      <w:pPr>
        <w:spacing w:line="560" w:lineRule="exact"/>
        <w:rPr>
          <w:rFonts w:eastAsia="仿宋_GB2312" w:cs="仿宋_GB2312"/>
          <w:sz w:val="32"/>
          <w:szCs w:val="32"/>
        </w:rPr>
      </w:pPr>
    </w:p>
    <w:p w14:paraId="20567B33" w14:textId="77777777" w:rsidR="00EB59BE" w:rsidRDefault="00EB59BE" w:rsidP="00EB59BE">
      <w:pPr>
        <w:spacing w:line="440" w:lineRule="exact"/>
        <w:rPr>
          <w:rFonts w:eastAsia="仿宋_GB2312" w:cs="仿宋_GB2312"/>
          <w:sz w:val="32"/>
          <w:szCs w:val="32"/>
        </w:rPr>
      </w:pPr>
      <w:r>
        <w:rPr>
          <w:rFonts w:eastAsia="仿宋_GB2312" w:cs="仿宋_GB2312" w:hint="eastAsia"/>
          <w:sz w:val="32"/>
          <w:szCs w:val="32"/>
        </w:rPr>
        <w:t>中山市医疗保障事业管理中心：</w:t>
      </w:r>
    </w:p>
    <w:p w14:paraId="30C125A6"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本单位自愿申请报名参加中山市“双通道”定点零售药店公开遴选，严格遵守本次公开遴选程序，本单位郑重承诺：</w:t>
      </w:r>
    </w:p>
    <w:p w14:paraId="7CCE2E23"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一、遵守《中华人民共和国药品管理法》《中华人民共和国社会保险法》等有关法律法规。</w:t>
      </w:r>
    </w:p>
    <w:p w14:paraId="0CCCF6F2"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二、“双通道”药品零售价格不</w:t>
      </w:r>
      <w:r>
        <w:rPr>
          <w:rFonts w:ascii="仿宋_GB2312" w:eastAsia="仿宋_GB2312" w:hAnsi="仿宋_GB2312" w:cs="仿宋_GB2312" w:hint="eastAsia"/>
          <w:sz w:val="32"/>
          <w:szCs w:val="32"/>
        </w:rPr>
        <w:t>超过国家医保谈判药品的价格</w:t>
      </w:r>
      <w:r>
        <w:rPr>
          <w:rFonts w:eastAsia="仿宋_GB2312" w:cs="仿宋_GB2312" w:hint="eastAsia"/>
          <w:sz w:val="32"/>
          <w:szCs w:val="32"/>
        </w:rPr>
        <w:t>。</w:t>
      </w:r>
    </w:p>
    <w:p w14:paraId="2E2A49B4"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三、提供中山市行政区域内免费配送上门和药学专业技术人员随车配送服务，配送时限原则上不超过</w:t>
      </w:r>
      <w:r>
        <w:rPr>
          <w:rFonts w:eastAsia="仿宋_GB2312" w:cs="仿宋_GB2312" w:hint="eastAsia"/>
          <w:sz w:val="32"/>
          <w:szCs w:val="32"/>
        </w:rPr>
        <w:t>4</w:t>
      </w:r>
      <w:r>
        <w:rPr>
          <w:rFonts w:eastAsia="仿宋_GB2312" w:cs="仿宋_GB2312" w:hint="eastAsia"/>
          <w:sz w:val="32"/>
          <w:szCs w:val="32"/>
        </w:rPr>
        <w:t>小时，医疗机构或患者急需的配送时限不超过</w:t>
      </w:r>
      <w:r>
        <w:rPr>
          <w:rFonts w:eastAsia="仿宋_GB2312" w:cs="仿宋_GB2312" w:hint="eastAsia"/>
          <w:sz w:val="32"/>
          <w:szCs w:val="32"/>
        </w:rPr>
        <w:t>2</w:t>
      </w:r>
      <w:r>
        <w:rPr>
          <w:rFonts w:eastAsia="仿宋_GB2312" w:cs="仿宋_GB2312" w:hint="eastAsia"/>
          <w:sz w:val="32"/>
          <w:szCs w:val="32"/>
        </w:rPr>
        <w:t>小时。</w:t>
      </w:r>
    </w:p>
    <w:p w14:paraId="275A432D"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四、承担因自身原因造成的药品不良反应、药品质量等责任及后续处理工作。</w:t>
      </w:r>
    </w:p>
    <w:p w14:paraId="4CCFE572"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五、获得遴选资格后与市医保中心签订“双通道”医保协议，并严格遵守协议管理。</w:t>
      </w:r>
    </w:p>
    <w:p w14:paraId="5EA226EC"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六、经营范围仅限：中药饮片、中成药、化学药制剂、抗生素制剂、生化药品、生物制品（除疫苗）、消毒用品、医疗器械、特殊食品。</w:t>
      </w:r>
    </w:p>
    <w:p w14:paraId="0DBC03C7"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七、承担连接广东省医保信息平台和广东智慧药监平台的相关费用。</w:t>
      </w:r>
    </w:p>
    <w:p w14:paraId="00E9AD2F" w14:textId="77777777" w:rsidR="00EB59BE" w:rsidRDefault="00EB59BE" w:rsidP="00EB59BE">
      <w:pPr>
        <w:spacing w:line="440" w:lineRule="exact"/>
        <w:ind w:firstLineChars="200" w:firstLine="640"/>
        <w:rPr>
          <w:rFonts w:eastAsia="仿宋_GB2312" w:cs="仿宋_GB2312"/>
          <w:sz w:val="32"/>
          <w:szCs w:val="32"/>
        </w:rPr>
      </w:pPr>
      <w:r>
        <w:rPr>
          <w:rFonts w:eastAsia="仿宋_GB2312" w:cs="仿宋_GB2312" w:hint="eastAsia"/>
          <w:sz w:val="32"/>
          <w:szCs w:val="32"/>
        </w:rPr>
        <w:t>八、对提交的资料真实性负责。</w:t>
      </w:r>
    </w:p>
    <w:p w14:paraId="1FA586EB" w14:textId="77777777" w:rsidR="00EB59BE" w:rsidRDefault="00EB59BE" w:rsidP="00EB59BE">
      <w:pPr>
        <w:spacing w:line="440" w:lineRule="exact"/>
        <w:ind w:firstLineChars="200" w:firstLine="640"/>
        <w:rPr>
          <w:rFonts w:eastAsia="仿宋_GB2312" w:cs="仿宋_GB2312"/>
          <w:sz w:val="32"/>
          <w:szCs w:val="32"/>
        </w:rPr>
      </w:pPr>
    </w:p>
    <w:p w14:paraId="2C35AA9C" w14:textId="77777777" w:rsidR="00EB59BE" w:rsidRDefault="00EB59BE" w:rsidP="00EB59BE">
      <w:pPr>
        <w:spacing w:line="440" w:lineRule="exact"/>
        <w:ind w:firstLineChars="200" w:firstLine="640"/>
        <w:rPr>
          <w:rFonts w:eastAsia="仿宋_GB2312" w:cs="仿宋_GB2312"/>
          <w:sz w:val="32"/>
          <w:szCs w:val="32"/>
        </w:rPr>
      </w:pPr>
    </w:p>
    <w:p w14:paraId="21DEDB5B" w14:textId="77777777" w:rsidR="00EB59BE" w:rsidRDefault="00EB59BE" w:rsidP="00EB59BE">
      <w:pPr>
        <w:wordWrap w:val="0"/>
        <w:spacing w:line="440" w:lineRule="exact"/>
        <w:jc w:val="right"/>
        <w:rPr>
          <w:rFonts w:eastAsia="仿宋_GB2312" w:cs="仿宋_GB2312"/>
          <w:sz w:val="32"/>
          <w:szCs w:val="32"/>
        </w:rPr>
      </w:pPr>
      <w:r>
        <w:rPr>
          <w:rFonts w:eastAsia="仿宋_GB2312" w:cs="仿宋_GB2312" w:hint="eastAsia"/>
          <w:sz w:val="32"/>
          <w:szCs w:val="32"/>
        </w:rPr>
        <w:t>单位名称：</w:t>
      </w:r>
      <w:r>
        <w:rPr>
          <w:rFonts w:eastAsia="仿宋_GB2312" w:cs="仿宋_GB2312" w:hint="eastAsia"/>
          <w:sz w:val="32"/>
          <w:szCs w:val="32"/>
        </w:rPr>
        <w:t xml:space="preserve">               </w:t>
      </w:r>
    </w:p>
    <w:p w14:paraId="7D92087C" w14:textId="77777777" w:rsidR="00EB59BE" w:rsidRDefault="00EB59BE" w:rsidP="00EB59BE">
      <w:pPr>
        <w:wordWrap w:val="0"/>
        <w:spacing w:line="440" w:lineRule="exact"/>
        <w:jc w:val="right"/>
        <w:rPr>
          <w:rFonts w:eastAsia="仿宋_GB2312" w:cs="仿宋_GB2312"/>
          <w:sz w:val="32"/>
          <w:szCs w:val="32"/>
        </w:rPr>
      </w:pPr>
      <w:r>
        <w:rPr>
          <w:rFonts w:eastAsia="仿宋_GB2312" w:cs="仿宋_GB2312" w:hint="eastAsia"/>
          <w:sz w:val="32"/>
          <w:szCs w:val="32"/>
        </w:rPr>
        <w:t>单位负责人签名：</w:t>
      </w:r>
      <w:r>
        <w:rPr>
          <w:rFonts w:eastAsia="仿宋_GB2312" w:cs="仿宋_GB2312" w:hint="eastAsia"/>
          <w:sz w:val="32"/>
          <w:szCs w:val="32"/>
        </w:rPr>
        <w:t xml:space="preserve">               </w:t>
      </w:r>
    </w:p>
    <w:p w14:paraId="665C7E1C" w14:textId="77777777" w:rsidR="00EB59BE" w:rsidRDefault="00EB59BE" w:rsidP="00EB59BE">
      <w:pPr>
        <w:wordWrap w:val="0"/>
        <w:spacing w:line="440" w:lineRule="exact"/>
        <w:jc w:val="right"/>
        <w:rPr>
          <w:rFonts w:eastAsia="仿宋_GB2312" w:cs="仿宋_GB2312"/>
          <w:sz w:val="32"/>
          <w:szCs w:val="32"/>
        </w:rPr>
      </w:pPr>
      <w:r>
        <w:rPr>
          <w:rFonts w:eastAsia="仿宋_GB2312" w:cs="仿宋_GB2312" w:hint="eastAsia"/>
          <w:sz w:val="32"/>
          <w:szCs w:val="32"/>
        </w:rPr>
        <w:t>日期：</w:t>
      </w:r>
      <w:r>
        <w:rPr>
          <w:rFonts w:eastAsia="仿宋_GB2312" w:cs="仿宋_GB2312" w:hint="eastAsia"/>
          <w:sz w:val="32"/>
          <w:szCs w:val="32"/>
        </w:rPr>
        <w:t xml:space="preserve">               </w:t>
      </w:r>
    </w:p>
    <w:p w14:paraId="0429E67A" w14:textId="055EE08D" w:rsidR="00740E21" w:rsidRDefault="00EB59BE" w:rsidP="00EB59BE">
      <w:r>
        <w:rPr>
          <w:rFonts w:eastAsia="仿宋_GB2312" w:cs="仿宋_GB2312" w:hint="eastAsia"/>
          <w:sz w:val="32"/>
          <w:szCs w:val="32"/>
        </w:rPr>
        <w:t>（加盖单位公章）</w:t>
      </w:r>
    </w:p>
    <w:sectPr w:rsidR="00740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BE"/>
    <w:rsid w:val="00740E21"/>
    <w:rsid w:val="00EB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565C"/>
  <w15:chartTrackingRefBased/>
  <w15:docId w15:val="{937129BA-F4CE-4ABD-B498-FAC5C52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EB59BE"/>
    <w:pPr>
      <w:widowControl w:val="0"/>
      <w:jc w:val="both"/>
    </w:pPr>
    <w:rPr>
      <w:rFonts w:ascii="Calibri" w:eastAsia="宋体" w:hAnsi="Calibri" w:cs="宋体"/>
      <w:szCs w:val="24"/>
    </w:rPr>
  </w:style>
  <w:style w:type="paragraph" w:styleId="1">
    <w:name w:val="heading 1"/>
    <w:basedOn w:val="a"/>
    <w:next w:val="a"/>
    <w:link w:val="10"/>
    <w:uiPriority w:val="9"/>
    <w:qFormat/>
    <w:rsid w:val="00EB59B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9BE"/>
    <w:rPr>
      <w:rFonts w:ascii="Calibri" w:eastAsia="宋体" w:hAnsi="Calibri"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嘉敏</dc:creator>
  <cp:keywords/>
  <dc:description/>
  <cp:lastModifiedBy>陈 嘉敏</cp:lastModifiedBy>
  <cp:revision>1</cp:revision>
  <dcterms:created xsi:type="dcterms:W3CDTF">2022-05-24T09:18:00Z</dcterms:created>
  <dcterms:modified xsi:type="dcterms:W3CDTF">2022-05-24T09:18:00Z</dcterms:modified>
</cp:coreProperties>
</file>