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60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both"/>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_GoBack"/>
      <w:r>
        <w:rPr>
          <w:rFonts w:hint="eastAsia" w:ascii="方正小标宋简体" w:hAnsi="方正小标宋简体" w:eastAsia="方正小标宋简体" w:cs="方正小标宋简体"/>
          <w:color w:val="auto"/>
          <w:sz w:val="44"/>
          <w:szCs w:val="44"/>
          <w:highlight w:val="none"/>
          <w:lang w:val="en-US" w:eastAsia="zh-CN"/>
        </w:rPr>
        <w:t>中山市国家医保谈判药品“双通道”试点</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定点零售药店遴选办法（试行）</w:t>
      </w:r>
    </w:p>
    <w:bookmarkEnd w:id="0"/>
    <w:p>
      <w:pPr>
        <w:keepNext w:val="0"/>
        <w:keepLines w:val="0"/>
        <w:pageBreakBefore w:val="0"/>
        <w:widowControl w:val="0"/>
        <w:kinsoku/>
        <w:wordWrap/>
        <w:overflowPunct/>
        <w:topLinePunct w:val="0"/>
        <w:autoSpaceDE/>
        <w:autoSpaceDN/>
        <w:bidi w:val="0"/>
        <w:adjustRightInd/>
        <w:snapToGrid/>
        <w:spacing w:afterAutospacing="0" w:line="60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切实做好我市国家医保谈判药品“双通道”试点定点零售药店遴选工作，将符合外配处方试点条件的医保定点零售药店纳入国家医保谈判药供应保障范围，进一步拓展参保患者用药购药渠道，更好满足人民群众用药需求，结合实际，制定本遴选办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遴选原则</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照“公开、公平、公正”的原则，制定“双通道”定点零售药店（以下简称“双通道”药店）遴选标准和程序，将资质合规、管理规范、信誉良好、布局合理的医保定点零售药店纳入“双通道”药店范围，参与遴选的医保零售药店可为单体或药品零售连锁总部下辖的连锁药店。“双通道”药店执行年度考核制，适度竞争、有进有出、动态调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“双通道”药店遴选标准见附件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申请的药店需符合遴选标准和程序，通过遴选公示后确定资格。</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“双通道”药店连续6个月联网结算数据为零的或医保年度考核分数低于80分的，市医保中心应及时暂停其“双通道”药品</w:t>
      </w:r>
      <w:r>
        <w:rPr>
          <w:rFonts w:hint="eastAsia" w:ascii="仿宋_GB2312" w:hAnsi="仿宋_GB2312" w:eastAsia="仿宋_GB2312" w:cs="仿宋_GB2312"/>
          <w:color w:val="auto"/>
          <w:sz w:val="32"/>
          <w:szCs w:val="32"/>
          <w:highlight w:val="none"/>
          <w:lang w:val="en-US" w:eastAsia="zh-CN"/>
        </w:rPr>
        <w:t>处方流转外配业务</w:t>
      </w:r>
      <w:r>
        <w:rPr>
          <w:rFonts w:hint="eastAsia" w:ascii="仿宋_GB2312" w:hAnsi="仿宋_GB2312" w:eastAsia="仿宋_GB2312" w:cs="仿宋_GB2312"/>
          <w:color w:val="auto"/>
          <w:sz w:val="32"/>
          <w:szCs w:val="32"/>
          <w:highlight w:val="none"/>
          <w:lang w:eastAsia="zh-CN"/>
        </w:rPr>
        <w:t>，责令其限期内改正，并及时向社会公布。该药店整改完毕后经市医保中心核查确认后可重新开展“双通道”药品</w:t>
      </w:r>
      <w:r>
        <w:rPr>
          <w:rFonts w:hint="eastAsia" w:ascii="仿宋_GB2312" w:hAnsi="仿宋_GB2312" w:eastAsia="仿宋_GB2312" w:cs="仿宋_GB2312"/>
          <w:color w:val="auto"/>
          <w:sz w:val="32"/>
          <w:szCs w:val="32"/>
          <w:highlight w:val="none"/>
          <w:lang w:val="en-US" w:eastAsia="zh-CN"/>
        </w:rPr>
        <w:t>处方流转外配业务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基本要求</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同时满足以下条件的零售药店，可向市医保中心提出“双通道”药店资格申请：</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具有中山市</w:t>
      </w:r>
      <w:r>
        <w:rPr>
          <w:rFonts w:hint="eastAsia" w:ascii="仿宋_GB2312" w:hAnsi="仿宋_GB2312" w:eastAsia="仿宋_GB2312" w:cs="仿宋_GB2312"/>
          <w:color w:val="auto"/>
          <w:sz w:val="32"/>
          <w:szCs w:val="32"/>
          <w:highlight w:val="none"/>
          <w:lang w:val="en-US" w:eastAsia="zh-CN"/>
        </w:rPr>
        <w:t>社会</w:t>
      </w:r>
      <w:r>
        <w:rPr>
          <w:rFonts w:hint="eastAsia" w:ascii="仿宋_GB2312" w:hAnsi="仿宋_GB2312" w:eastAsia="仿宋_GB2312" w:cs="仿宋_GB2312"/>
          <w:color w:val="auto"/>
          <w:sz w:val="32"/>
          <w:szCs w:val="32"/>
          <w:highlight w:val="none"/>
          <w:lang w:eastAsia="zh-CN"/>
        </w:rPr>
        <w:t>医疗保险定点零售药店资格。</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具备“双通道”管理药品目录相关品种经营资质。</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具备良好信用，在申请之日前3年内未受过市场监督管理局、医疗保障局等相关部门处理。</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至少有2名在岗在职执业药师。</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具备完善的药品管理、信息系统管理、医保基金内控内审制度、外配处方审核制度、药品召回制度、药品不良反应应急预案和处理流程。</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具备与医保信息系统实时传输，满足对所售药品已实现信息化追溯，实现患者与药店直接结算等条件。药店全部药品的购、销、存数据可上传至广东智慧药监平台。</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以上条件任何一条不符合不参与申请。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遴选方式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由市医保中心牵头，建立专家组，以材料初审、综合评价、实地核查的形式，对参与遴选的药店进行评价，最终确定遴选结果后对外公示。</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市医保中心发布遴选公告。</w:t>
      </w:r>
      <w:r>
        <w:rPr>
          <w:rFonts w:hint="eastAsia" w:ascii="仿宋_GB2312" w:hAnsi="仿宋_GB2312" w:eastAsia="仿宋_GB2312" w:cs="仿宋_GB2312"/>
          <w:color w:val="auto"/>
          <w:sz w:val="32"/>
          <w:szCs w:val="32"/>
          <w:highlight w:val="none"/>
          <w:lang w:eastAsia="zh-CN"/>
        </w:rPr>
        <w:t>符合上述基本要求的定点零售药店自愿按规定提交材料后参与遴选</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材料初审。</w:t>
      </w:r>
      <w:r>
        <w:rPr>
          <w:rFonts w:hint="eastAsia" w:ascii="仿宋_GB2312" w:hAnsi="仿宋_GB2312" w:eastAsia="仿宋_GB2312" w:cs="仿宋_GB2312"/>
          <w:color w:val="auto"/>
          <w:sz w:val="32"/>
          <w:szCs w:val="32"/>
          <w:highlight w:val="none"/>
          <w:lang w:eastAsia="zh-CN"/>
        </w:rPr>
        <w:t>专家组对申请药店提交的书面材料进行初审，未达到基本条件或未完整承诺相关事项的，不得进入下一轮综合评价。</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综合评价。</w:t>
      </w:r>
      <w:r>
        <w:rPr>
          <w:rFonts w:hint="eastAsia" w:ascii="仿宋_GB2312" w:hAnsi="仿宋_GB2312" w:eastAsia="仿宋_GB2312" w:cs="仿宋_GB2312"/>
          <w:color w:val="auto"/>
          <w:sz w:val="32"/>
          <w:szCs w:val="32"/>
          <w:highlight w:val="none"/>
          <w:lang w:eastAsia="zh-CN"/>
        </w:rPr>
        <w:t>专家组对申请药店提交的书面材料进行综合评价。</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“双通道”药店遴选对照《中山市“双通道”定点零售药店遴选评分表》（附件3）进行评分。将分数</w:t>
      </w:r>
      <w:r>
        <w:rPr>
          <w:rFonts w:hint="eastAsia" w:ascii="仿宋_GB2312" w:hAnsi="仿宋_GB2312" w:eastAsia="仿宋_GB2312" w:cs="仿宋_GB2312"/>
          <w:color w:val="auto"/>
          <w:sz w:val="32"/>
          <w:szCs w:val="32"/>
          <w:highlight w:val="none"/>
          <w:lang w:val="en-US" w:eastAsia="zh-CN"/>
        </w:rPr>
        <w:t>85分及以上的申请药店</w:t>
      </w:r>
      <w:r>
        <w:rPr>
          <w:rFonts w:hint="eastAsia" w:ascii="仿宋_GB2312" w:hAnsi="仿宋_GB2312" w:eastAsia="仿宋_GB2312" w:cs="仿宋_GB2312"/>
          <w:color w:val="auto"/>
          <w:sz w:val="32"/>
          <w:szCs w:val="32"/>
          <w:highlight w:val="none"/>
          <w:lang w:eastAsia="zh-CN"/>
        </w:rPr>
        <w:t>由高至低进行排名并确定初选名单。当2个及以上申请药店评分相同时，按照《中山市“双通道”定点零售药店遴选评分表》类别中服务设施、服务能力、人员资质与配备、企业社会责任担当的顺序依次按单项分数由高至低进行排名；当第一项分数相同时，顺延至第二项进行比较，以此类推。</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实地核查。</w:t>
      </w:r>
      <w:r>
        <w:rPr>
          <w:rFonts w:hint="eastAsia" w:ascii="仿宋_GB2312" w:hAnsi="仿宋_GB2312" w:eastAsia="仿宋_GB2312" w:cs="仿宋_GB2312"/>
          <w:color w:val="auto"/>
          <w:sz w:val="32"/>
          <w:szCs w:val="32"/>
          <w:highlight w:val="none"/>
          <w:lang w:eastAsia="zh-CN"/>
        </w:rPr>
        <w:t>对初选名单进行实地核查，经核查发现实际情况不符合基本条件的，取消遴选资格。</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申请药店经核查发现实际情况与所提交材料不符的，不予通过。申请所涉及《中山市“双通道”定点零售药店遴选评分表》的评分项不得分，并根据</w:t>
      </w:r>
      <w:r>
        <w:rPr>
          <w:rFonts w:hint="eastAsia" w:ascii="仿宋_GB2312" w:hAnsi="仿宋_GB2312" w:eastAsia="仿宋_GB2312" w:cs="仿宋_GB2312"/>
          <w:color w:val="auto"/>
          <w:sz w:val="32"/>
          <w:szCs w:val="32"/>
          <w:highlight w:val="none"/>
          <w:lang w:val="en-US" w:eastAsia="zh-CN"/>
        </w:rPr>
        <w:t>实际得分</w:t>
      </w:r>
      <w:r>
        <w:rPr>
          <w:rFonts w:hint="eastAsia" w:ascii="仿宋_GB2312" w:hAnsi="仿宋_GB2312" w:eastAsia="仿宋_GB2312" w:cs="仿宋_GB2312"/>
          <w:color w:val="auto"/>
          <w:sz w:val="32"/>
          <w:szCs w:val="32"/>
          <w:highlight w:val="none"/>
          <w:lang w:eastAsia="zh-CN"/>
        </w:rPr>
        <w:t>重新进行总分排名，总分</w:t>
      </w:r>
      <w:r>
        <w:rPr>
          <w:rFonts w:hint="eastAsia" w:ascii="仿宋_GB2312" w:hAnsi="仿宋_GB2312" w:eastAsia="仿宋_GB2312" w:cs="仿宋_GB2312"/>
          <w:color w:val="auto"/>
          <w:sz w:val="32"/>
          <w:szCs w:val="32"/>
          <w:highlight w:val="none"/>
          <w:lang w:val="en-US" w:eastAsia="zh-CN"/>
        </w:rPr>
        <w:t>85分以上申请药店按照排名确定入选名单</w:t>
      </w:r>
      <w:r>
        <w:rPr>
          <w:rFonts w:hint="eastAsia" w:ascii="仿宋_GB2312" w:hAnsi="仿宋_GB2312" w:eastAsia="仿宋_GB2312" w:cs="仿宋_GB2312"/>
          <w:color w:val="auto"/>
          <w:sz w:val="32"/>
          <w:szCs w:val="32"/>
          <w:highlight w:val="none"/>
          <w:lang w:eastAsia="zh-CN"/>
        </w:rPr>
        <w:t>；当涉及不得分的评分项超过3项及以上时，取消遴选资格。取消遴选资格的，由符合遴选原则的下一名次申请药店替补接受实地核查。</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经实地核查发现实际情况与基本条件和综合评价内容相符的，确定入选资格。</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color w:val="auto"/>
          <w:sz w:val="32"/>
          <w:szCs w:val="32"/>
          <w:highlight w:val="none"/>
          <w:lang w:eastAsia="zh-CN"/>
        </w:rPr>
        <w:t>公示。</w:t>
      </w:r>
      <w:r>
        <w:rPr>
          <w:rFonts w:hint="eastAsia" w:ascii="仿宋_GB2312" w:hAnsi="仿宋_GB2312" w:eastAsia="仿宋_GB2312" w:cs="仿宋_GB2312"/>
          <w:color w:val="auto"/>
          <w:sz w:val="32"/>
          <w:szCs w:val="32"/>
          <w:highlight w:val="none"/>
          <w:lang w:eastAsia="zh-CN"/>
        </w:rPr>
        <w:t>对确定入选的申请药店应当向社会公示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个工作日。公示期间收到的有关举报，由专家组进一步核实；经核实不属实的不再受理相同举报。经核实确实存在问题的，重复实地核查的步骤。</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通过公示期后的零售药店正式确定为中山市“双通道”定点零售药店。相关药店与市医保中心签订服务协议并严格遵守相关规定。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需要递交的申请资料</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申请“双通道”药店需提交资料如下：</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填写完整的中山市“双通道”定点零售药店申请表（附件1）。</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签名盖章的中山市“双通道”定点零售药店承诺书（附件2）。</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申请药店《营业执照》和《</w:t>
      </w:r>
      <w:r>
        <w:rPr>
          <w:rFonts w:hint="eastAsia" w:ascii="仿宋_GB2312" w:hAnsi="仿宋_GB2312" w:eastAsia="仿宋_GB2312" w:cs="仿宋_GB2312"/>
          <w:color w:val="auto"/>
          <w:sz w:val="32"/>
          <w:szCs w:val="32"/>
          <w:highlight w:val="none"/>
          <w:lang w:val="en-US" w:eastAsia="zh-CN"/>
        </w:rPr>
        <w:t>食品</w:t>
      </w:r>
      <w:r>
        <w:rPr>
          <w:rFonts w:hint="eastAsia" w:ascii="仿宋_GB2312" w:hAnsi="仿宋_GB2312" w:eastAsia="仿宋_GB2312" w:cs="仿宋_GB2312"/>
          <w:color w:val="auto"/>
          <w:sz w:val="32"/>
          <w:szCs w:val="32"/>
          <w:highlight w:val="none"/>
          <w:lang w:eastAsia="zh-CN"/>
        </w:rPr>
        <w:t>药品经营许可证》复印件，申请的连锁药店还需提供连锁总部或集团总部在中山市行政区内开设的全资或控股驻地公司的组织架构关系证明、《营业执照》、《</w:t>
      </w:r>
      <w:r>
        <w:rPr>
          <w:rFonts w:hint="eastAsia" w:ascii="仿宋_GB2312" w:hAnsi="仿宋_GB2312" w:eastAsia="仿宋_GB2312" w:cs="仿宋_GB2312"/>
          <w:color w:val="auto"/>
          <w:sz w:val="32"/>
          <w:szCs w:val="32"/>
          <w:highlight w:val="none"/>
          <w:lang w:val="en-US" w:eastAsia="zh-CN"/>
        </w:rPr>
        <w:t>食品</w:t>
      </w:r>
      <w:r>
        <w:rPr>
          <w:rFonts w:hint="eastAsia" w:ascii="仿宋_GB2312" w:hAnsi="仿宋_GB2312" w:eastAsia="仿宋_GB2312" w:cs="仿宋_GB2312"/>
          <w:color w:val="auto"/>
          <w:sz w:val="32"/>
          <w:szCs w:val="32"/>
          <w:highlight w:val="none"/>
          <w:lang w:eastAsia="zh-CN"/>
        </w:rPr>
        <w:t>药品经营许可证》</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《药品经营许可证》。</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申请药店（和所属连锁总部或集团总部）“信用中国”相关截图说明。</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申请药店能反映药品的购、销、存数据上传到广东智慧药监平台的相关截图证明资料。</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申请药店接入国家医疗保障信息平台的系统相关截图证明资料。能反映对所售药品已实现电子追溯等条件的相关截图证明资料。</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申请药店制定的药品管理、信息系统管理、医保基金内控内审制度、外配处方审核制度、药品不良反应应急预案和处理流程、药品召回制度的目录清单。</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申请药店在岗执业药师的资格证、注册证和身份证的复印件；执业药师在药店或连锁总部（或集团总部）的社会保险参保缴费证明原件。</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单体药店、连锁药店所属的连锁总部（或集团总部）取得“双通道”管理药品目录内药品的生产厂家</w:t>
      </w:r>
      <w:r>
        <w:rPr>
          <w:rFonts w:hint="eastAsia" w:ascii="仿宋_GB2312" w:hAnsi="仿宋_GB2312" w:eastAsia="仿宋_GB2312" w:cs="仿宋_GB2312"/>
          <w:color w:val="auto"/>
          <w:sz w:val="32"/>
          <w:szCs w:val="32"/>
          <w:highlight w:val="none"/>
          <w:lang w:val="en-US" w:eastAsia="zh-CN"/>
        </w:rPr>
        <w:t>或经销商授权证明</w:t>
      </w:r>
      <w:r>
        <w:rPr>
          <w:rFonts w:hint="eastAsia" w:ascii="仿宋_GB2312" w:hAnsi="仿宋_GB2312" w:eastAsia="仿宋_GB2312" w:cs="仿宋_GB2312"/>
          <w:color w:val="auto"/>
          <w:sz w:val="32"/>
          <w:szCs w:val="32"/>
          <w:highlight w:val="none"/>
          <w:lang w:eastAsia="zh-CN"/>
        </w:rPr>
        <w:t>材料的目录清单和药店经营药品电子版目录。</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经营专区温度、储存专区环境温湿度实施监测和调控的制度和仪器</w:t>
      </w:r>
      <w:r>
        <w:rPr>
          <w:rFonts w:hint="eastAsia" w:ascii="仿宋_GB2312" w:hAnsi="仿宋_GB2312" w:eastAsia="仿宋_GB2312" w:cs="仿宋_GB2312"/>
          <w:color w:val="auto"/>
          <w:sz w:val="32"/>
          <w:szCs w:val="32"/>
          <w:highlight w:val="none"/>
          <w:lang w:val="en-US" w:eastAsia="zh-CN"/>
        </w:rPr>
        <w:t>设施设备的目录清单</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体药店、连锁药店所属的连锁总部或集团总部(含所属集团内各控股公司）在本市的药品物流配送中心产权证明：其中属自有仓库的，提供不动产登记证原件、复印件及仓库平面布局图；租赁仓库的，提供仓库租赁合同原件、复印件及仓库平面布局图。</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申请药店具备完善的冷链管理储存制度,经销场所具备符合冷链要求的储存、使用区域及设备，以及相关冷链配送记录凭证。</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申请药店针对极端天气和突发事件影响制定的应急处置预案首页。</w:t>
      </w:r>
    </w:p>
    <w:p>
      <w:pPr>
        <w:keepNext w:val="0"/>
        <w:keepLines w:val="0"/>
        <w:pageBreakBefore w:val="0"/>
        <w:widowControl w:val="0"/>
        <w:numPr>
          <w:ilvl w:val="0"/>
          <w:numId w:val="4"/>
        </w:numPr>
        <w:kinsoku/>
        <w:wordWrap/>
        <w:overflowPunct/>
        <w:topLinePunct w:val="0"/>
        <w:autoSpaceDE/>
        <w:autoSpaceDN/>
        <w:bidi w:val="0"/>
        <w:adjustRightInd/>
        <w:snapToGrid/>
        <w:spacing w:afterAutospacing="0" w:line="600" w:lineRule="exact"/>
        <w:ind w:left="0" w:leftChars="0" w:firstLine="42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单体药店、零售药店所属的连锁总部（或集团总部）参加公益帮扶项目的证明材料，以及作为本省（市）级短缺药品承储企业的证明材料。</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上申请材料应提交纸质版和电子版，纸质版逐页加盖公章，并按“申请材料”的顺序装订并封装,电子版按“申请材料”的顺序逐项整理并统一打包，上述提及目录清单的项目需提交完整电子版材料，所有报名材料均需由申请药店提交。提交申请材料后，申请药店不得自行补充、修改或撤回申请材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申请资料递交时间地址</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首批“双通道”药店（中山市人民医院周边）</w:t>
      </w:r>
      <w:r>
        <w:rPr>
          <w:rFonts w:hint="eastAsia" w:ascii="仿宋_GB2312" w:hAnsi="仿宋_GB2312" w:eastAsia="仿宋_GB2312" w:cs="仿宋_GB2312"/>
          <w:color w:val="auto"/>
          <w:sz w:val="32"/>
          <w:szCs w:val="32"/>
          <w:highlight w:val="none"/>
          <w:lang w:eastAsia="zh-CN"/>
        </w:rPr>
        <w:t>申请材料提交的起止时间：自本办法发布之日起至2021年</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日(工作日上午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0-12:00；下午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eastAsia="zh-CN"/>
        </w:rPr>
        <w:t>:30-17:</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0)，以上时间之外不接受报名。第二批</w:t>
      </w:r>
      <w:r>
        <w:rPr>
          <w:rFonts w:hint="eastAsia" w:ascii="仿宋_GB2312" w:hAnsi="仿宋_GB2312" w:eastAsia="仿宋_GB2312" w:cs="仿宋_GB2312"/>
          <w:color w:val="auto"/>
          <w:sz w:val="32"/>
          <w:szCs w:val="32"/>
          <w:highlight w:val="none"/>
          <w:lang w:val="en-US" w:eastAsia="zh-CN"/>
        </w:rPr>
        <w:t>“双通道”药店</w:t>
      </w:r>
      <w:r>
        <w:rPr>
          <w:rFonts w:hint="eastAsia" w:ascii="仿宋_GB2312" w:hAnsi="仿宋_GB2312" w:eastAsia="仿宋_GB2312" w:cs="仿宋_GB2312"/>
          <w:color w:val="auto"/>
          <w:sz w:val="32"/>
          <w:szCs w:val="32"/>
          <w:highlight w:val="none"/>
          <w:lang w:eastAsia="zh-CN"/>
        </w:rPr>
        <w:t>申请材料提交的起止时间：202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eastAsia="zh-CN"/>
        </w:rPr>
        <w:t>日至202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lang w:eastAsia="zh-CN"/>
        </w:rPr>
        <w:t>日(工作日上午</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0-12:00；下午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eastAsia="zh-CN"/>
        </w:rPr>
        <w:t>:30-17:</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0)，以上时间之外不接受报名。</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接受申请材料的地址：中山市中山三路</w:t>
      </w:r>
      <w:r>
        <w:rPr>
          <w:rFonts w:hint="eastAsia" w:ascii="仿宋_GB2312" w:hAnsi="仿宋_GB2312" w:eastAsia="仿宋_GB2312" w:cs="仿宋_GB2312"/>
          <w:color w:val="auto"/>
          <w:sz w:val="32"/>
          <w:szCs w:val="32"/>
          <w:highlight w:val="none"/>
          <w:lang w:val="en-US" w:eastAsia="zh-CN"/>
        </w:rPr>
        <w:t>26号21楼2110室定点医药机构管理部</w:t>
      </w:r>
      <w:r>
        <w:rPr>
          <w:rFonts w:hint="eastAsia" w:ascii="仿宋_GB2312" w:hAnsi="仿宋_GB2312" w:eastAsia="仿宋_GB2312" w:cs="仿宋_GB2312"/>
          <w:color w:val="auto"/>
          <w:sz w:val="32"/>
          <w:szCs w:val="32"/>
          <w:highlight w:val="none"/>
          <w:lang w:eastAsia="zh-CN"/>
        </w:rPr>
        <w:t>。</w:t>
      </w:r>
    </w:p>
    <w:p>
      <w:pPr>
        <w:rPr>
          <w:rFonts w:hint="default"/>
          <w:color w:val="auto"/>
          <w:highlight w:val="none"/>
          <w:lang w:val="en-US" w:eastAsia="zh-CN"/>
        </w:rPr>
      </w:pPr>
      <w:r>
        <w:rPr>
          <w:rFonts w:hint="default"/>
          <w:color w:val="auto"/>
          <w:highlight w:val="none"/>
          <w:lang w:val="en-US" w:eastAsia="zh-CN"/>
        </w:rPr>
        <w:br w:type="page"/>
      </w:r>
    </w:p>
    <w:p>
      <w:pPr>
        <w:widowControl/>
        <w:adjustRightInd w:val="0"/>
        <w:snapToGrid w:val="0"/>
        <w:spacing w:line="240" w:lineRule="auto"/>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附件1：</w:t>
      </w:r>
    </w:p>
    <w:tbl>
      <w:tblPr>
        <w:tblStyle w:val="3"/>
        <w:tblpPr w:leftFromText="180" w:rightFromText="180" w:vertAnchor="text" w:horzAnchor="margin" w:tblpXSpec="center" w:tblpY="913"/>
        <w:tblW w:w="9120" w:type="dxa"/>
        <w:tblInd w:w="0" w:type="dxa"/>
        <w:tblLayout w:type="fixed"/>
        <w:tblCellMar>
          <w:top w:w="0" w:type="dxa"/>
          <w:left w:w="108" w:type="dxa"/>
          <w:bottom w:w="0" w:type="dxa"/>
          <w:right w:w="108" w:type="dxa"/>
        </w:tblCellMar>
      </w:tblPr>
      <w:tblGrid>
        <w:gridCol w:w="2281"/>
        <w:gridCol w:w="2035"/>
        <w:gridCol w:w="1817"/>
        <w:gridCol w:w="2987"/>
      </w:tblGrid>
      <w:tr>
        <w:tblPrEx>
          <w:tblCellMar>
            <w:top w:w="0" w:type="dxa"/>
            <w:left w:w="108" w:type="dxa"/>
            <w:bottom w:w="0" w:type="dxa"/>
            <w:right w:w="108" w:type="dxa"/>
          </w:tblCellMar>
        </w:tblPrEx>
        <w:trPr>
          <w:trHeight w:val="784" w:hRule="atLeast"/>
        </w:trPr>
        <w:tc>
          <w:tcPr>
            <w:tcW w:w="91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auto"/>
                <w:kern w:val="0"/>
                <w:sz w:val="36"/>
                <w:szCs w:val="36"/>
                <w:highlight w:val="none"/>
              </w:rPr>
            </w:pPr>
            <w:r>
              <w:rPr>
                <w:rFonts w:hint="eastAsia" w:ascii="仿宋" w:hAnsi="仿宋" w:eastAsia="仿宋" w:cs="仿宋"/>
                <w:b/>
                <w:bCs/>
                <w:color w:val="auto"/>
                <w:kern w:val="0"/>
                <w:sz w:val="36"/>
                <w:szCs w:val="36"/>
                <w:highlight w:val="none"/>
                <w:lang w:eastAsia="zh-CN"/>
              </w:rPr>
              <w:t>中山</w:t>
            </w:r>
            <w:r>
              <w:rPr>
                <w:rFonts w:hint="eastAsia" w:ascii="仿宋" w:hAnsi="仿宋" w:eastAsia="仿宋" w:cs="仿宋"/>
                <w:b/>
                <w:bCs/>
                <w:color w:val="auto"/>
                <w:kern w:val="0"/>
                <w:sz w:val="36"/>
                <w:szCs w:val="36"/>
                <w:highlight w:val="none"/>
              </w:rPr>
              <w:t>市“双通道”定点零售药店申请表</w:t>
            </w:r>
          </w:p>
        </w:tc>
      </w:tr>
      <w:tr>
        <w:tblPrEx>
          <w:tblCellMar>
            <w:top w:w="0" w:type="dxa"/>
            <w:left w:w="108" w:type="dxa"/>
            <w:bottom w:w="0" w:type="dxa"/>
            <w:right w:w="108" w:type="dxa"/>
          </w:tblCellMar>
        </w:tblPrEx>
        <w:trPr>
          <w:trHeight w:val="466" w:hRule="atLeast"/>
        </w:trPr>
        <w:tc>
          <w:tcPr>
            <w:tcW w:w="228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申请药店名称</w:t>
            </w:r>
          </w:p>
        </w:tc>
        <w:tc>
          <w:tcPr>
            <w:tcW w:w="6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466" w:hRule="atLeast"/>
        </w:trPr>
        <w:tc>
          <w:tcPr>
            <w:tcW w:w="228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药店地址</w:t>
            </w:r>
          </w:p>
        </w:tc>
        <w:tc>
          <w:tcPr>
            <w:tcW w:w="6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466" w:hRule="atLeast"/>
        </w:trPr>
        <w:tc>
          <w:tcPr>
            <w:tcW w:w="228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意向合作的1家</w:t>
            </w:r>
          </w:p>
          <w:p>
            <w:pPr>
              <w:widowControl/>
              <w:spacing w:line="400" w:lineRule="exact"/>
              <w:jc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“双通道”医疗机构</w:t>
            </w:r>
          </w:p>
        </w:tc>
        <w:tc>
          <w:tcPr>
            <w:tcW w:w="6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466" w:hRule="atLeast"/>
        </w:trPr>
        <w:tc>
          <w:tcPr>
            <w:tcW w:w="228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单位</w:t>
            </w:r>
            <w:r>
              <w:rPr>
                <w:rFonts w:hint="eastAsia" w:ascii="仿宋" w:hAnsi="仿宋" w:eastAsia="仿宋" w:cs="仿宋"/>
                <w:color w:val="auto"/>
                <w:kern w:val="0"/>
                <w:sz w:val="24"/>
                <w:highlight w:val="none"/>
              </w:rPr>
              <w:t>负责人姓名</w:t>
            </w:r>
          </w:p>
        </w:tc>
        <w:tc>
          <w:tcPr>
            <w:tcW w:w="203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c>
          <w:tcPr>
            <w:tcW w:w="18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2987"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466" w:hRule="atLeast"/>
        </w:trPr>
        <w:tc>
          <w:tcPr>
            <w:tcW w:w="228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联系</w:t>
            </w:r>
            <w:r>
              <w:rPr>
                <w:rFonts w:hint="eastAsia" w:ascii="仿宋" w:hAnsi="仿宋" w:eastAsia="仿宋" w:cs="仿宋"/>
                <w:color w:val="auto"/>
                <w:kern w:val="0"/>
                <w:sz w:val="24"/>
                <w:highlight w:val="none"/>
              </w:rPr>
              <w:t>人姓名</w:t>
            </w:r>
          </w:p>
        </w:tc>
        <w:tc>
          <w:tcPr>
            <w:tcW w:w="203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c>
          <w:tcPr>
            <w:tcW w:w="18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身份证号码</w:t>
            </w:r>
          </w:p>
        </w:tc>
        <w:tc>
          <w:tcPr>
            <w:tcW w:w="2987"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815" w:hRule="atLeast"/>
        </w:trPr>
        <w:tc>
          <w:tcPr>
            <w:tcW w:w="228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联系电话</w:t>
            </w:r>
          </w:p>
        </w:tc>
        <w:tc>
          <w:tcPr>
            <w:tcW w:w="2035"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c>
          <w:tcPr>
            <w:tcW w:w="1817" w:type="dxa"/>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联系地址</w:t>
            </w:r>
          </w:p>
        </w:tc>
        <w:tc>
          <w:tcPr>
            <w:tcW w:w="2987" w:type="dxa"/>
            <w:tcBorders>
              <w:top w:val="nil"/>
              <w:left w:val="nil"/>
              <w:bottom w:val="single" w:color="auto" w:sz="4" w:space="0"/>
              <w:right w:val="single" w:color="auto" w:sz="4" w:space="0"/>
            </w:tcBorders>
            <w:shd w:val="clear" w:color="auto" w:fill="auto"/>
            <w:vAlign w:val="center"/>
          </w:tcPr>
          <w:p>
            <w:pPr>
              <w:widowControl/>
              <w:spacing w:line="400" w:lineRule="exact"/>
              <w:jc w:val="left"/>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747" w:hRule="atLeast"/>
        </w:trPr>
        <w:tc>
          <w:tcPr>
            <w:tcW w:w="2281" w:type="dxa"/>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所属的连锁总部</w:t>
            </w:r>
          </w:p>
          <w:p>
            <w:pPr>
              <w:widowControl/>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（或集团总部）名称</w:t>
            </w:r>
          </w:p>
        </w:tc>
        <w:tc>
          <w:tcPr>
            <w:tcW w:w="6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759" w:hRule="atLeast"/>
        </w:trPr>
        <w:tc>
          <w:tcPr>
            <w:tcW w:w="431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签约成为</w:t>
            </w:r>
            <w:r>
              <w:rPr>
                <w:rFonts w:hint="eastAsia" w:ascii="仿宋" w:hAnsi="仿宋" w:eastAsia="仿宋" w:cs="仿宋"/>
                <w:color w:val="auto"/>
                <w:kern w:val="0"/>
                <w:sz w:val="24"/>
                <w:highlight w:val="none"/>
                <w:lang w:eastAsia="zh-CN"/>
              </w:rPr>
              <w:t>中山市社会医疗保险</w:t>
            </w:r>
            <w:r>
              <w:rPr>
                <w:rFonts w:hint="eastAsia" w:ascii="仿宋" w:hAnsi="仿宋" w:eastAsia="仿宋" w:cs="仿宋"/>
                <w:color w:val="auto"/>
                <w:kern w:val="0"/>
                <w:sz w:val="24"/>
                <w:highlight w:val="none"/>
              </w:rPr>
              <w:t>定点零售药店时间</w:t>
            </w:r>
          </w:p>
        </w:tc>
        <w:tc>
          <w:tcPr>
            <w:tcW w:w="4804"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仿宋" w:hAnsi="仿宋" w:eastAsia="仿宋" w:cs="仿宋"/>
                <w:color w:val="auto"/>
                <w:kern w:val="0"/>
                <w:sz w:val="24"/>
                <w:highlight w:val="none"/>
              </w:rPr>
            </w:pPr>
          </w:p>
        </w:tc>
      </w:tr>
      <w:tr>
        <w:tblPrEx>
          <w:tblCellMar>
            <w:top w:w="0" w:type="dxa"/>
            <w:left w:w="108" w:type="dxa"/>
            <w:bottom w:w="0" w:type="dxa"/>
            <w:right w:w="108" w:type="dxa"/>
          </w:tblCellMar>
        </w:tblPrEx>
        <w:trPr>
          <w:trHeight w:val="759" w:hRule="atLeast"/>
        </w:trPr>
        <w:tc>
          <w:tcPr>
            <w:tcW w:w="431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经营场所在岗服务执业药师人员数量</w:t>
            </w:r>
          </w:p>
        </w:tc>
        <w:tc>
          <w:tcPr>
            <w:tcW w:w="4804"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r>
      <w:tr>
        <w:tblPrEx>
          <w:tblCellMar>
            <w:top w:w="0" w:type="dxa"/>
            <w:left w:w="108" w:type="dxa"/>
            <w:bottom w:w="0" w:type="dxa"/>
            <w:right w:w="108" w:type="dxa"/>
          </w:tblCellMar>
        </w:tblPrEx>
        <w:trPr>
          <w:trHeight w:val="886" w:hRule="atLeast"/>
        </w:trPr>
        <w:tc>
          <w:tcPr>
            <w:tcW w:w="4316"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所属连锁总部（或集团总部）取得目录内国家</w:t>
            </w:r>
            <w:r>
              <w:rPr>
                <w:rFonts w:hint="eastAsia" w:ascii="仿宋" w:hAnsi="仿宋" w:eastAsia="仿宋" w:cs="仿宋"/>
                <w:color w:val="auto"/>
                <w:kern w:val="0"/>
                <w:sz w:val="24"/>
                <w:highlight w:val="none"/>
                <w:lang w:eastAsia="zh-CN"/>
              </w:rPr>
              <w:t>医保</w:t>
            </w:r>
            <w:r>
              <w:rPr>
                <w:rFonts w:hint="eastAsia" w:ascii="仿宋" w:hAnsi="仿宋" w:eastAsia="仿宋" w:cs="仿宋"/>
                <w:color w:val="auto"/>
                <w:kern w:val="0"/>
                <w:sz w:val="24"/>
                <w:highlight w:val="none"/>
              </w:rPr>
              <w:t>谈判药品经销权的数量</w:t>
            </w:r>
          </w:p>
        </w:tc>
        <w:tc>
          <w:tcPr>
            <w:tcW w:w="4804" w:type="dxa"/>
            <w:gridSpan w:val="2"/>
            <w:tcBorders>
              <w:top w:val="nil"/>
              <w:left w:val="nil"/>
              <w:bottom w:val="single" w:color="auto" w:sz="4" w:space="0"/>
              <w:right w:val="single" w:color="auto" w:sz="4" w:space="0"/>
            </w:tcBorders>
            <w:shd w:val="clear" w:color="auto" w:fill="auto"/>
            <w:vAlign w:val="center"/>
          </w:tcPr>
          <w:p>
            <w:pPr>
              <w:widowControl/>
              <w:spacing w:line="400" w:lineRule="exact"/>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个</w:t>
            </w:r>
          </w:p>
        </w:tc>
      </w:tr>
      <w:tr>
        <w:tblPrEx>
          <w:tblCellMar>
            <w:top w:w="0" w:type="dxa"/>
            <w:left w:w="108" w:type="dxa"/>
            <w:bottom w:w="0" w:type="dxa"/>
            <w:right w:w="108" w:type="dxa"/>
          </w:tblCellMar>
        </w:tblPrEx>
        <w:trPr>
          <w:trHeight w:val="2802" w:hRule="atLeast"/>
        </w:trPr>
        <w:tc>
          <w:tcPr>
            <w:tcW w:w="91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400" w:lineRule="exact"/>
              <w:jc w:val="left"/>
              <w:rPr>
                <w:rFonts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本</w:t>
            </w:r>
            <w:r>
              <w:rPr>
                <w:rFonts w:hint="eastAsia" w:ascii="仿宋" w:hAnsi="仿宋" w:eastAsia="仿宋" w:cs="仿宋"/>
                <w:b/>
                <w:bCs/>
                <w:color w:val="auto"/>
                <w:kern w:val="0"/>
                <w:sz w:val="28"/>
                <w:szCs w:val="28"/>
                <w:highlight w:val="none"/>
                <w:lang w:eastAsia="zh-CN"/>
              </w:rPr>
              <w:t>单位</w:t>
            </w:r>
            <w:r>
              <w:rPr>
                <w:rFonts w:hint="eastAsia" w:ascii="仿宋" w:hAnsi="仿宋" w:eastAsia="仿宋" w:cs="仿宋"/>
                <w:b/>
                <w:bCs/>
                <w:color w:val="auto"/>
                <w:kern w:val="0"/>
                <w:sz w:val="28"/>
                <w:szCs w:val="28"/>
                <w:highlight w:val="none"/>
              </w:rPr>
              <w:t>承诺上述填报资料信息属实，提交的资料合法、真实有效，如有违反，本</w:t>
            </w:r>
            <w:r>
              <w:rPr>
                <w:rFonts w:hint="default" w:ascii="仿宋" w:hAnsi="仿宋" w:eastAsia="仿宋" w:cs="仿宋"/>
                <w:b/>
                <w:bCs/>
                <w:color w:val="auto"/>
                <w:kern w:val="0"/>
                <w:sz w:val="28"/>
                <w:szCs w:val="28"/>
                <w:highlight w:val="none"/>
                <w:lang w:val="en-US"/>
              </w:rPr>
              <w:t>单位</w:t>
            </w:r>
            <w:r>
              <w:rPr>
                <w:rFonts w:hint="eastAsia" w:ascii="仿宋" w:hAnsi="仿宋" w:eastAsia="仿宋" w:cs="仿宋"/>
                <w:b/>
                <w:bCs/>
                <w:color w:val="auto"/>
                <w:kern w:val="0"/>
                <w:sz w:val="28"/>
                <w:szCs w:val="28"/>
                <w:highlight w:val="none"/>
              </w:rPr>
              <w:t>将承担由此导致的一切后果。</w:t>
            </w:r>
          </w:p>
          <w:p>
            <w:pPr>
              <w:keepNext w:val="0"/>
              <w:keepLines w:val="0"/>
              <w:pageBreakBefore w:val="0"/>
              <w:widowControl/>
              <w:kinsoku/>
              <w:wordWrap/>
              <w:overflowPunct/>
              <w:topLinePunct w:val="0"/>
              <w:autoSpaceDE/>
              <w:autoSpaceDN/>
              <w:bidi w:val="0"/>
              <w:adjustRightInd/>
              <w:snapToGrid/>
              <w:spacing w:line="400" w:lineRule="exact"/>
              <w:ind w:firstLine="562" w:firstLineChars="200"/>
              <w:jc w:val="both"/>
              <w:textAlignment w:val="auto"/>
              <w:rPr>
                <w:rFonts w:hint="eastAsia" w:ascii="仿宋" w:hAnsi="仿宋" w:eastAsia="仿宋" w:cs="仿宋"/>
                <w:b/>
                <w:bCs/>
                <w:color w:val="auto"/>
                <w:kern w:val="0"/>
                <w:sz w:val="28"/>
                <w:szCs w:val="28"/>
                <w:highlight w:val="none"/>
              </w:rPr>
            </w:pPr>
          </w:p>
          <w:p>
            <w:pPr>
              <w:keepNext w:val="0"/>
              <w:keepLines w:val="0"/>
              <w:pageBreakBefore w:val="0"/>
              <w:widowControl/>
              <w:kinsoku/>
              <w:wordWrap w:val="0"/>
              <w:overflowPunct/>
              <w:topLinePunct w:val="0"/>
              <w:autoSpaceDE/>
              <w:autoSpaceDN/>
              <w:bidi w:val="0"/>
              <w:adjustRightInd/>
              <w:snapToGrid/>
              <w:spacing w:line="400" w:lineRule="exact"/>
              <w:ind w:firstLine="562" w:firstLineChars="200"/>
              <w:jc w:val="right"/>
              <w:textAlignment w:val="auto"/>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（以上基本资料由</w:t>
            </w:r>
            <w:r>
              <w:rPr>
                <w:rFonts w:hint="eastAsia" w:ascii="仿宋" w:hAnsi="仿宋" w:eastAsia="仿宋" w:cs="仿宋"/>
                <w:b/>
                <w:bCs/>
                <w:color w:val="auto"/>
                <w:kern w:val="0"/>
                <w:sz w:val="28"/>
                <w:szCs w:val="28"/>
                <w:highlight w:val="none"/>
                <w:lang w:eastAsia="zh-CN"/>
              </w:rPr>
              <w:t>单位</w:t>
            </w:r>
            <w:r>
              <w:rPr>
                <w:rFonts w:hint="eastAsia" w:ascii="仿宋" w:hAnsi="仿宋" w:eastAsia="仿宋" w:cs="仿宋"/>
                <w:b/>
                <w:bCs/>
                <w:color w:val="auto"/>
                <w:kern w:val="0"/>
                <w:sz w:val="28"/>
                <w:szCs w:val="28"/>
                <w:highlight w:val="none"/>
              </w:rPr>
              <w:t>负责人签名确认）签名：</w:t>
            </w: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00" w:lineRule="exact"/>
              <w:ind w:firstLine="562" w:firstLineChars="200"/>
              <w:jc w:val="right"/>
              <w:textAlignment w:val="auto"/>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申请日期：</w:t>
            </w: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00" w:lineRule="exact"/>
              <w:ind w:firstLine="562" w:firstLineChars="200"/>
              <w:jc w:val="right"/>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rPr>
              <w:t>（加盖公章）</w:t>
            </w:r>
            <w:r>
              <w:rPr>
                <w:rFonts w:hint="eastAsia" w:ascii="仿宋" w:hAnsi="仿宋" w:eastAsia="仿宋" w:cs="仿宋"/>
                <w:b/>
                <w:bCs/>
                <w:color w:val="auto"/>
                <w:kern w:val="0"/>
                <w:sz w:val="28"/>
                <w:szCs w:val="28"/>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line="400" w:lineRule="exact"/>
              <w:ind w:firstLine="562" w:firstLineChars="200"/>
              <w:jc w:val="right"/>
              <w:textAlignment w:val="auto"/>
              <w:rPr>
                <w:rFonts w:hint="default" w:ascii="仿宋" w:hAnsi="仿宋" w:eastAsia="仿宋" w:cs="仿宋"/>
                <w:b/>
                <w:bCs/>
                <w:color w:val="auto"/>
                <w:kern w:val="0"/>
                <w:sz w:val="28"/>
                <w:szCs w:val="28"/>
                <w:highlight w:val="none"/>
                <w:lang w:val="en-US" w:eastAsia="zh-CN"/>
              </w:rPr>
            </w:pPr>
          </w:p>
        </w:tc>
      </w:tr>
    </w:tbl>
    <w:p>
      <w:pPr>
        <w:widowControl/>
        <w:adjustRightInd w:val="0"/>
        <w:snapToGrid w:val="0"/>
        <w:spacing w:line="240" w:lineRule="atLeast"/>
        <w:jc w:val="left"/>
        <w:rPr>
          <w:rFonts w:ascii="仿宋" w:hAnsi="仿宋" w:eastAsia="仿宋" w:cs="仿宋"/>
          <w:b/>
          <w:bCs/>
          <w:color w:val="auto"/>
          <w:kern w:val="0"/>
          <w:sz w:val="36"/>
          <w:szCs w:val="36"/>
          <w:highlight w:val="none"/>
        </w:rPr>
      </w:pPr>
    </w:p>
    <w:p>
      <w:pPr>
        <w:rPr>
          <w:rFonts w:ascii="仿宋" w:hAnsi="仿宋" w:eastAsia="仿宋" w:cs="仿宋"/>
          <w:b/>
          <w:bCs/>
          <w:color w:val="auto"/>
          <w:kern w:val="0"/>
          <w:sz w:val="36"/>
          <w:szCs w:val="36"/>
          <w:highlight w:val="none"/>
        </w:rPr>
      </w:pPr>
    </w:p>
    <w:p>
      <w:pPr>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br w:type="page"/>
      </w:r>
    </w:p>
    <w:p>
      <w:pPr>
        <w:widowControl/>
        <w:adjustRightInd w:val="0"/>
        <w:snapToGrid w:val="0"/>
        <w:spacing w:line="240" w:lineRule="atLeast"/>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附件2：</w:t>
      </w:r>
    </w:p>
    <w:p>
      <w:pPr>
        <w:widowControl/>
        <w:adjustRightInd w:val="0"/>
        <w:snapToGrid w:val="0"/>
        <w:spacing w:line="240" w:lineRule="atLeast"/>
        <w:jc w:val="left"/>
        <w:rPr>
          <w:rFonts w:hint="eastAsia" w:ascii="黑体" w:hAnsi="黑体" w:eastAsia="黑体" w:cs="黑体"/>
          <w:b w:val="0"/>
          <w:bCs w:val="0"/>
          <w:color w:val="auto"/>
          <w:kern w:val="0"/>
          <w:sz w:val="32"/>
          <w:szCs w:val="32"/>
          <w:highlight w:val="none"/>
        </w:rPr>
      </w:pPr>
    </w:p>
    <w:p>
      <w:pPr>
        <w:widowControl/>
        <w:adjustRightInd w:val="0"/>
        <w:snapToGrid w:val="0"/>
        <w:spacing w:line="240" w:lineRule="atLeast"/>
        <w:jc w:val="center"/>
        <w:rPr>
          <w:rFonts w:ascii="方正小标宋简体" w:hAnsi="宋体" w:eastAsia="方正小标宋简体" w:cs="宋体"/>
          <w:color w:val="auto"/>
          <w:kern w:val="0"/>
          <w:sz w:val="36"/>
          <w:szCs w:val="36"/>
          <w:highlight w:val="none"/>
        </w:rPr>
      </w:pPr>
      <w:r>
        <w:rPr>
          <w:rFonts w:hint="eastAsia" w:ascii="仿宋" w:hAnsi="仿宋" w:eastAsia="仿宋" w:cs="仿宋"/>
          <w:b/>
          <w:bCs/>
          <w:color w:val="auto"/>
          <w:kern w:val="0"/>
          <w:sz w:val="36"/>
          <w:szCs w:val="36"/>
          <w:highlight w:val="none"/>
          <w:lang w:eastAsia="zh-CN"/>
        </w:rPr>
        <w:t>中山</w:t>
      </w:r>
      <w:r>
        <w:rPr>
          <w:rFonts w:hint="eastAsia" w:ascii="仿宋" w:hAnsi="仿宋" w:eastAsia="仿宋" w:cs="仿宋"/>
          <w:b/>
          <w:bCs/>
          <w:color w:val="auto"/>
          <w:kern w:val="0"/>
          <w:sz w:val="36"/>
          <w:szCs w:val="36"/>
          <w:highlight w:val="none"/>
        </w:rPr>
        <w:t>市“双通道”定点零售药店承诺书</w:t>
      </w:r>
    </w:p>
    <w:p>
      <w:pPr>
        <w:spacing w:line="560" w:lineRule="exact"/>
        <w:rPr>
          <w:rFonts w:eastAsia="仿宋_GB2312" w:cs="仿宋_GB2312"/>
          <w:color w:val="auto"/>
          <w:sz w:val="32"/>
          <w:szCs w:val="32"/>
          <w:highlight w:val="none"/>
        </w:rPr>
      </w:pPr>
    </w:p>
    <w:p>
      <w:pPr>
        <w:spacing w:line="440" w:lineRule="exact"/>
        <w:rPr>
          <w:rFonts w:eastAsia="仿宋_GB2312" w:cs="仿宋_GB2312"/>
          <w:color w:val="auto"/>
          <w:sz w:val="32"/>
          <w:szCs w:val="32"/>
          <w:highlight w:val="none"/>
        </w:rPr>
      </w:pPr>
      <w:r>
        <w:rPr>
          <w:rFonts w:hint="eastAsia" w:eastAsia="仿宋_GB2312" w:cs="仿宋_GB2312"/>
          <w:color w:val="auto"/>
          <w:sz w:val="32"/>
          <w:szCs w:val="32"/>
          <w:highlight w:val="none"/>
          <w:lang w:val="en-US" w:eastAsia="zh-CN"/>
        </w:rPr>
        <w:t>中山市医疗保障事业管理中心：</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本单位自愿申请报名参加</w:t>
      </w:r>
      <w:r>
        <w:rPr>
          <w:rFonts w:hint="eastAsia" w:eastAsia="仿宋_GB2312" w:cs="仿宋_GB2312"/>
          <w:color w:val="auto"/>
          <w:sz w:val="32"/>
          <w:szCs w:val="32"/>
          <w:highlight w:val="none"/>
          <w:lang w:eastAsia="zh-CN"/>
        </w:rPr>
        <w:t>中山</w:t>
      </w:r>
      <w:r>
        <w:rPr>
          <w:rFonts w:hint="eastAsia" w:eastAsia="仿宋_GB2312" w:cs="仿宋_GB2312"/>
          <w:color w:val="auto"/>
          <w:sz w:val="32"/>
          <w:szCs w:val="32"/>
          <w:highlight w:val="none"/>
        </w:rPr>
        <w:t>市“双通道”定点零售药店公开遴选，严格遵守本次公开</w:t>
      </w:r>
      <w:r>
        <w:rPr>
          <w:rFonts w:hint="eastAsia" w:eastAsia="仿宋_GB2312" w:cs="仿宋_GB2312"/>
          <w:color w:val="auto"/>
          <w:sz w:val="32"/>
          <w:szCs w:val="32"/>
          <w:highlight w:val="none"/>
          <w:lang w:eastAsia="zh-CN"/>
        </w:rPr>
        <w:t>遴选</w:t>
      </w:r>
      <w:r>
        <w:rPr>
          <w:rFonts w:hint="eastAsia" w:eastAsia="仿宋_GB2312" w:cs="仿宋_GB2312"/>
          <w:color w:val="auto"/>
          <w:sz w:val="32"/>
          <w:szCs w:val="32"/>
          <w:highlight w:val="none"/>
        </w:rPr>
        <w:t>程序，本单位郑重承诺：</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一、遵守《中华人民共和国药品管理法》《中华人民共和国社会保险法》等有关法律法规。</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二、“双通道”药品零售价格</w:t>
      </w:r>
      <w:r>
        <w:rPr>
          <w:rFonts w:hint="eastAsia" w:eastAsia="仿宋_GB2312" w:cs="仿宋_GB2312"/>
          <w:color w:val="auto"/>
          <w:sz w:val="32"/>
          <w:szCs w:val="32"/>
          <w:highlight w:val="none"/>
          <w:lang w:eastAsia="zh-CN"/>
        </w:rPr>
        <w:t>不</w:t>
      </w:r>
      <w:r>
        <w:rPr>
          <w:rFonts w:hint="eastAsia" w:ascii="仿宋_GB2312" w:hAnsi="仿宋_GB2312" w:eastAsia="仿宋_GB2312" w:cs="仿宋_GB2312"/>
          <w:color w:val="auto"/>
          <w:sz w:val="32"/>
          <w:szCs w:val="32"/>
          <w:highlight w:val="none"/>
          <w:lang w:eastAsia="zh-CN"/>
        </w:rPr>
        <w:t>超过国家医保谈判药品的价格</w:t>
      </w:r>
      <w:r>
        <w:rPr>
          <w:rFonts w:hint="eastAsia" w:eastAsia="仿宋_GB2312" w:cs="仿宋_GB2312"/>
          <w:color w:val="auto"/>
          <w:sz w:val="32"/>
          <w:szCs w:val="32"/>
          <w:highlight w:val="none"/>
        </w:rPr>
        <w:t>。</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三、提供</w:t>
      </w:r>
      <w:r>
        <w:rPr>
          <w:rFonts w:hint="eastAsia" w:eastAsia="仿宋_GB2312" w:cs="仿宋_GB2312"/>
          <w:color w:val="auto"/>
          <w:sz w:val="32"/>
          <w:szCs w:val="32"/>
          <w:highlight w:val="none"/>
          <w:lang w:eastAsia="zh-CN"/>
        </w:rPr>
        <w:t>中山</w:t>
      </w:r>
      <w:r>
        <w:rPr>
          <w:rFonts w:hint="eastAsia" w:eastAsia="仿宋_GB2312" w:cs="仿宋_GB2312"/>
          <w:color w:val="auto"/>
          <w:sz w:val="32"/>
          <w:szCs w:val="32"/>
          <w:highlight w:val="none"/>
        </w:rPr>
        <w:t>市行政区域内免费配送上门和药学专业技术人员随车配送服务，配送时限原则上不超过4小时，医疗机构或患者急需的配送时限不超过2小时。</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四、承担因自身原因造成的药品不良反应、药品质量等责任及后续处理工作。</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五、获得遴选资格后与</w:t>
      </w:r>
      <w:r>
        <w:rPr>
          <w:rFonts w:hint="eastAsia" w:eastAsia="仿宋_GB2312" w:cs="仿宋_GB2312"/>
          <w:color w:val="auto"/>
          <w:sz w:val="32"/>
          <w:szCs w:val="32"/>
          <w:highlight w:val="none"/>
          <w:lang w:eastAsia="zh-CN"/>
        </w:rPr>
        <w:t>市</w:t>
      </w:r>
      <w:r>
        <w:rPr>
          <w:rFonts w:hint="eastAsia" w:eastAsia="仿宋_GB2312" w:cs="仿宋_GB2312"/>
          <w:color w:val="auto"/>
          <w:sz w:val="32"/>
          <w:szCs w:val="32"/>
          <w:highlight w:val="none"/>
        </w:rPr>
        <w:t>医保中心签订“双通道”</w:t>
      </w:r>
      <w:r>
        <w:rPr>
          <w:rFonts w:hint="eastAsia" w:eastAsia="仿宋_GB2312" w:cs="仿宋_GB2312"/>
          <w:color w:val="auto"/>
          <w:sz w:val="32"/>
          <w:szCs w:val="32"/>
          <w:highlight w:val="none"/>
          <w:lang w:eastAsia="zh-CN"/>
        </w:rPr>
        <w:t>医保</w:t>
      </w:r>
      <w:r>
        <w:rPr>
          <w:rFonts w:hint="eastAsia" w:eastAsia="仿宋_GB2312" w:cs="仿宋_GB2312"/>
          <w:color w:val="auto"/>
          <w:sz w:val="32"/>
          <w:szCs w:val="32"/>
          <w:highlight w:val="none"/>
        </w:rPr>
        <w:t>协议，并严格遵守协议管理。</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六、经营范围仅限：中药饮片、中成药、化学药制剂、抗生素制剂、生化药品、生物制品（除疫苗）、</w:t>
      </w:r>
      <w:r>
        <w:rPr>
          <w:rFonts w:hint="eastAsia" w:eastAsia="仿宋_GB2312" w:cs="仿宋_GB2312"/>
          <w:color w:val="auto"/>
          <w:sz w:val="32"/>
          <w:szCs w:val="32"/>
          <w:highlight w:val="none"/>
          <w:lang w:eastAsia="zh-CN"/>
        </w:rPr>
        <w:t>消毒用品、</w:t>
      </w:r>
      <w:r>
        <w:rPr>
          <w:rFonts w:hint="eastAsia" w:eastAsia="仿宋_GB2312" w:cs="仿宋_GB2312"/>
          <w:color w:val="auto"/>
          <w:sz w:val="32"/>
          <w:szCs w:val="32"/>
          <w:highlight w:val="none"/>
        </w:rPr>
        <w:t>医疗器械、特殊食品。</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七、承担连接广东省医保信息平台和广东智慧药监平台的相关费用。</w:t>
      </w:r>
    </w:p>
    <w:p>
      <w:pPr>
        <w:spacing w:line="440" w:lineRule="exact"/>
        <w:ind w:firstLine="640" w:firstLineChars="200"/>
        <w:rPr>
          <w:rFonts w:eastAsia="仿宋_GB2312" w:cs="仿宋_GB2312"/>
          <w:color w:val="auto"/>
          <w:sz w:val="32"/>
          <w:szCs w:val="32"/>
          <w:highlight w:val="none"/>
        </w:rPr>
      </w:pPr>
      <w:r>
        <w:rPr>
          <w:rFonts w:hint="eastAsia" w:eastAsia="仿宋_GB2312" w:cs="仿宋_GB2312"/>
          <w:color w:val="auto"/>
          <w:sz w:val="32"/>
          <w:szCs w:val="32"/>
          <w:highlight w:val="none"/>
        </w:rPr>
        <w:t>八、对提交的资料真实性负责。</w:t>
      </w:r>
    </w:p>
    <w:p>
      <w:pPr>
        <w:spacing w:line="440" w:lineRule="exact"/>
        <w:ind w:firstLine="640" w:firstLineChars="200"/>
        <w:rPr>
          <w:rFonts w:eastAsia="仿宋_GB2312" w:cs="仿宋_GB2312"/>
          <w:color w:val="auto"/>
          <w:sz w:val="32"/>
          <w:szCs w:val="32"/>
          <w:highlight w:val="none"/>
        </w:rPr>
      </w:pPr>
    </w:p>
    <w:p>
      <w:pPr>
        <w:spacing w:line="440" w:lineRule="exact"/>
        <w:ind w:firstLine="640" w:firstLineChars="200"/>
        <w:rPr>
          <w:rFonts w:eastAsia="仿宋_GB2312" w:cs="仿宋_GB2312"/>
          <w:color w:val="auto"/>
          <w:sz w:val="32"/>
          <w:szCs w:val="32"/>
          <w:highlight w:val="none"/>
        </w:rPr>
      </w:pPr>
    </w:p>
    <w:p>
      <w:pPr>
        <w:wordWrap w:val="0"/>
        <w:spacing w:line="440" w:lineRule="exact"/>
        <w:ind w:firstLine="0" w:firstLineChars="0"/>
        <w:jc w:val="right"/>
        <w:rPr>
          <w:rFonts w:hint="default" w:eastAsia="仿宋_GB2312" w:cs="仿宋_GB2312"/>
          <w:color w:val="auto"/>
          <w:sz w:val="32"/>
          <w:szCs w:val="32"/>
          <w:highlight w:val="none"/>
          <w:lang w:val="en-US" w:eastAsia="zh-CN"/>
        </w:rPr>
      </w:pPr>
      <w:r>
        <w:rPr>
          <w:rFonts w:hint="eastAsia" w:eastAsia="仿宋_GB2312" w:cs="仿宋_GB2312"/>
          <w:color w:val="auto"/>
          <w:sz w:val="32"/>
          <w:szCs w:val="32"/>
          <w:highlight w:val="none"/>
          <w:lang w:eastAsia="zh-CN"/>
        </w:rPr>
        <w:t>单位</w:t>
      </w:r>
      <w:r>
        <w:rPr>
          <w:rFonts w:hint="eastAsia" w:eastAsia="仿宋_GB2312" w:cs="仿宋_GB2312"/>
          <w:color w:val="auto"/>
          <w:sz w:val="32"/>
          <w:szCs w:val="32"/>
          <w:highlight w:val="none"/>
        </w:rPr>
        <w:t>名称：</w:t>
      </w:r>
      <w:r>
        <w:rPr>
          <w:rFonts w:hint="eastAsia" w:eastAsia="仿宋_GB2312" w:cs="仿宋_GB2312"/>
          <w:color w:val="auto"/>
          <w:sz w:val="32"/>
          <w:szCs w:val="32"/>
          <w:highlight w:val="none"/>
          <w:lang w:val="en-US" w:eastAsia="zh-CN"/>
        </w:rPr>
        <w:t xml:space="preserve">               </w:t>
      </w:r>
    </w:p>
    <w:p>
      <w:pPr>
        <w:wordWrap w:val="0"/>
        <w:spacing w:line="440" w:lineRule="exact"/>
        <w:ind w:firstLine="0" w:firstLineChars="0"/>
        <w:jc w:val="right"/>
        <w:rPr>
          <w:rFonts w:hint="default" w:eastAsia="仿宋_GB2312" w:cs="仿宋_GB2312"/>
          <w:color w:val="auto"/>
          <w:sz w:val="32"/>
          <w:szCs w:val="32"/>
          <w:highlight w:val="none"/>
          <w:lang w:val="en-US" w:eastAsia="zh-CN"/>
        </w:rPr>
      </w:pPr>
      <w:r>
        <w:rPr>
          <w:rFonts w:hint="eastAsia" w:eastAsia="仿宋_GB2312" w:cs="仿宋_GB2312"/>
          <w:color w:val="auto"/>
          <w:sz w:val="32"/>
          <w:szCs w:val="32"/>
          <w:highlight w:val="none"/>
          <w:lang w:eastAsia="zh-CN"/>
        </w:rPr>
        <w:t>单位</w:t>
      </w:r>
      <w:r>
        <w:rPr>
          <w:rFonts w:hint="eastAsia" w:eastAsia="仿宋_GB2312" w:cs="仿宋_GB2312"/>
          <w:color w:val="auto"/>
          <w:sz w:val="32"/>
          <w:szCs w:val="32"/>
          <w:highlight w:val="none"/>
        </w:rPr>
        <w:t>负责人签名：</w:t>
      </w:r>
      <w:r>
        <w:rPr>
          <w:rFonts w:hint="eastAsia" w:eastAsia="仿宋_GB2312" w:cs="仿宋_GB2312"/>
          <w:color w:val="auto"/>
          <w:sz w:val="32"/>
          <w:szCs w:val="32"/>
          <w:highlight w:val="none"/>
          <w:lang w:val="en-US" w:eastAsia="zh-CN"/>
        </w:rPr>
        <w:t xml:space="preserve">               </w:t>
      </w:r>
    </w:p>
    <w:p>
      <w:pPr>
        <w:wordWrap w:val="0"/>
        <w:spacing w:line="440" w:lineRule="exact"/>
        <w:ind w:firstLine="0" w:firstLineChars="0"/>
        <w:jc w:val="right"/>
        <w:rPr>
          <w:rFonts w:hint="default" w:eastAsia="仿宋_GB2312" w:cs="仿宋_GB2312"/>
          <w:color w:val="auto"/>
          <w:sz w:val="32"/>
          <w:szCs w:val="32"/>
          <w:highlight w:val="none"/>
          <w:lang w:val="en-US" w:eastAsia="zh-CN"/>
        </w:rPr>
      </w:pPr>
      <w:r>
        <w:rPr>
          <w:rFonts w:hint="eastAsia" w:eastAsia="仿宋_GB2312" w:cs="仿宋_GB2312"/>
          <w:color w:val="auto"/>
          <w:sz w:val="32"/>
          <w:szCs w:val="32"/>
          <w:highlight w:val="none"/>
        </w:rPr>
        <w:t>日期：</w:t>
      </w:r>
      <w:r>
        <w:rPr>
          <w:rFonts w:hint="eastAsia" w:eastAsia="仿宋_GB2312" w:cs="仿宋_GB2312"/>
          <w:color w:val="auto"/>
          <w:sz w:val="32"/>
          <w:szCs w:val="32"/>
          <w:highlight w:val="none"/>
          <w:lang w:val="en-US" w:eastAsia="zh-CN"/>
        </w:rPr>
        <w:t xml:space="preserve">               </w:t>
      </w:r>
    </w:p>
    <w:p>
      <w:pPr>
        <w:wordWrap w:val="0"/>
        <w:spacing w:line="440" w:lineRule="exact"/>
        <w:ind w:firstLine="0" w:firstLineChars="0"/>
        <w:jc w:val="right"/>
        <w:rPr>
          <w:rFonts w:hint="default" w:eastAsia="仿宋_GB2312" w:cs="仿宋_GB2312"/>
          <w:color w:val="auto"/>
          <w:sz w:val="32"/>
          <w:szCs w:val="32"/>
          <w:highlight w:val="none"/>
          <w:lang w:val="en-US" w:eastAsia="zh-CN"/>
        </w:rPr>
      </w:pPr>
      <w:r>
        <w:rPr>
          <w:rFonts w:hint="eastAsia" w:eastAsia="仿宋_GB2312" w:cs="仿宋_GB2312"/>
          <w:color w:val="auto"/>
          <w:sz w:val="32"/>
          <w:szCs w:val="32"/>
          <w:highlight w:val="none"/>
        </w:rPr>
        <w:t>（加盖单位公章）</w:t>
      </w:r>
      <w:r>
        <w:rPr>
          <w:rFonts w:hint="eastAsia" w:eastAsia="仿宋_GB2312" w:cs="仿宋_GB2312"/>
          <w:color w:val="auto"/>
          <w:sz w:val="32"/>
          <w:szCs w:val="32"/>
          <w:highlight w:val="none"/>
          <w:lang w:val="en-US" w:eastAsia="zh-CN"/>
        </w:rPr>
        <w:t xml:space="preserve">               </w:t>
      </w:r>
    </w:p>
    <w:p>
      <w:pPr>
        <w:wordWrap w:val="0"/>
        <w:spacing w:line="440" w:lineRule="exact"/>
        <w:ind w:firstLine="3840" w:firstLineChars="1200"/>
        <w:jc w:val="right"/>
        <w:rPr>
          <w:rFonts w:hint="eastAsia" w:eastAsia="仿宋_GB2312" w:cs="仿宋_GB2312"/>
          <w:color w:val="auto"/>
          <w:sz w:val="32"/>
          <w:szCs w:val="32"/>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widowControl/>
        <w:adjustRightInd w:val="0"/>
        <w:snapToGrid w:val="0"/>
        <w:spacing w:line="240" w:lineRule="atLeast"/>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附件3：</w:t>
      </w:r>
    </w:p>
    <w:p>
      <w:pPr>
        <w:spacing w:line="560" w:lineRule="exact"/>
        <w:jc w:val="cente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eastAsia="zh-CN"/>
        </w:rPr>
        <w:t>中山</w:t>
      </w:r>
      <w:r>
        <w:rPr>
          <w:rFonts w:hint="eastAsia" w:ascii="仿宋" w:hAnsi="仿宋" w:eastAsia="仿宋" w:cs="仿宋"/>
          <w:b/>
          <w:bCs/>
          <w:color w:val="auto"/>
          <w:kern w:val="0"/>
          <w:sz w:val="36"/>
          <w:szCs w:val="36"/>
          <w:highlight w:val="none"/>
        </w:rPr>
        <w:t>市“双通道”定点零售药店遴选评分表</w:t>
      </w:r>
    </w:p>
    <w:p>
      <w:pPr>
        <w:spacing w:line="560" w:lineRule="exact"/>
        <w:jc w:val="center"/>
        <w:rPr>
          <w:rFonts w:hint="eastAsia" w:ascii="仿宋" w:hAnsi="仿宋" w:eastAsia="仿宋" w:cs="仿宋"/>
          <w:b/>
          <w:bCs/>
          <w:color w:val="auto"/>
          <w:kern w:val="0"/>
          <w:sz w:val="36"/>
          <w:szCs w:val="36"/>
          <w:highlight w:val="none"/>
        </w:rPr>
      </w:pPr>
    </w:p>
    <w:p>
      <w:pPr>
        <w:spacing w:line="600" w:lineRule="exact"/>
        <w:jc w:val="left"/>
        <w:rPr>
          <w:rFonts w:ascii="仿宋" w:hAnsi="仿宋" w:eastAsia="仿宋" w:cs="仿宋"/>
          <w:b/>
          <w:bCs/>
          <w:color w:val="auto"/>
          <w:sz w:val="32"/>
          <w:szCs w:val="32"/>
          <w:highlight w:val="none"/>
        </w:rPr>
      </w:pPr>
      <w:r>
        <w:rPr>
          <w:rFonts w:hint="eastAsia" w:ascii="宋体" w:hAnsi="宋体" w:eastAsia="宋体" w:cs="宋体"/>
          <w:color w:val="auto"/>
          <w:sz w:val="32"/>
          <w:szCs w:val="32"/>
          <w:highlight w:val="none"/>
          <w:lang w:val="en-US" w:eastAsia="zh-CN"/>
        </w:rPr>
        <w:t xml:space="preserve">企业名称：          </w:t>
      </w: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val="en-US" w:eastAsia="zh-CN"/>
        </w:rPr>
        <w:t xml:space="preserve">  核查日期：</w:t>
      </w:r>
    </w:p>
    <w:tbl>
      <w:tblPr>
        <w:tblStyle w:val="4"/>
        <w:tblW w:w="13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3208"/>
        <w:gridCol w:w="3454"/>
        <w:gridCol w:w="1276"/>
        <w:gridCol w:w="1417"/>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992"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3208"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审核内容</w:t>
            </w:r>
          </w:p>
        </w:tc>
        <w:tc>
          <w:tcPr>
            <w:tcW w:w="3454"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评分细则</w:t>
            </w:r>
          </w:p>
        </w:tc>
        <w:tc>
          <w:tcPr>
            <w:tcW w:w="1276"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基本分值</w:t>
            </w:r>
          </w:p>
        </w:tc>
        <w:tc>
          <w:tcPr>
            <w:tcW w:w="1417"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评分</w:t>
            </w:r>
            <w:r>
              <w:rPr>
                <w:rFonts w:hint="eastAsia" w:ascii="宋体" w:hAnsi="宋体" w:eastAsia="宋体" w:cs="宋体"/>
                <w:b/>
                <w:bCs/>
                <w:color w:val="auto"/>
                <w:kern w:val="0"/>
                <w:sz w:val="21"/>
                <w:szCs w:val="21"/>
                <w:highlight w:val="none"/>
              </w:rPr>
              <w:t>方式</w:t>
            </w:r>
          </w:p>
        </w:tc>
        <w:tc>
          <w:tcPr>
            <w:tcW w:w="1134"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实际得分</w:t>
            </w:r>
          </w:p>
        </w:tc>
        <w:tc>
          <w:tcPr>
            <w:tcW w:w="759" w:type="dxa"/>
            <w:shd w:val="clear" w:color="auto" w:fill="auto"/>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992" w:type="dxa"/>
            <w:vMerge w:val="restart"/>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一票否决项</w:t>
            </w: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lang w:eastAsia="zh-CN"/>
              </w:rPr>
              <w:t>中山市社会医疗保险</w:t>
            </w:r>
            <w:r>
              <w:rPr>
                <w:rFonts w:hint="eastAsia" w:ascii="宋体" w:hAnsi="宋体" w:eastAsia="宋体" w:cs="宋体"/>
                <w:color w:val="auto"/>
                <w:kern w:val="0"/>
                <w:sz w:val="21"/>
                <w:szCs w:val="21"/>
                <w:highlight w:val="none"/>
              </w:rPr>
              <w:t>定点零售药店。</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非</w:t>
            </w:r>
            <w:r>
              <w:rPr>
                <w:rFonts w:hint="eastAsia" w:ascii="宋体" w:hAnsi="宋体" w:cs="宋体"/>
                <w:color w:val="auto"/>
                <w:kern w:val="0"/>
                <w:sz w:val="21"/>
                <w:szCs w:val="21"/>
                <w:highlight w:val="none"/>
                <w:lang w:eastAsia="zh-CN"/>
              </w:rPr>
              <w:t>中山市社会医疗保险</w:t>
            </w:r>
            <w:r>
              <w:rPr>
                <w:rFonts w:hint="eastAsia" w:ascii="宋体" w:hAnsi="宋体" w:eastAsia="宋体" w:cs="宋体"/>
                <w:color w:val="auto"/>
                <w:kern w:val="0"/>
                <w:sz w:val="21"/>
                <w:szCs w:val="21"/>
                <w:highlight w:val="none"/>
              </w:rPr>
              <w:t>定点零售药店不参与</w:t>
            </w:r>
            <w:r>
              <w:rPr>
                <w:rFonts w:hint="eastAsia" w:ascii="宋体" w:hAnsi="宋体" w:cs="宋体"/>
                <w:color w:val="auto"/>
                <w:kern w:val="0"/>
                <w:sz w:val="21"/>
                <w:szCs w:val="21"/>
                <w:highlight w:val="none"/>
                <w:lang w:eastAsia="zh-CN"/>
              </w:rPr>
              <w:t>遴选</w:t>
            </w:r>
            <w:r>
              <w:rPr>
                <w:rFonts w:hint="eastAsia" w:ascii="宋体" w:hAnsi="宋体" w:eastAsia="宋体" w:cs="宋体"/>
                <w:color w:val="auto"/>
                <w:kern w:val="0"/>
                <w:sz w:val="21"/>
                <w:szCs w:val="21"/>
                <w:highlight w:val="none"/>
              </w:rPr>
              <w:t>。</w:t>
            </w:r>
          </w:p>
        </w:tc>
        <w:tc>
          <w:tcPr>
            <w:tcW w:w="1276" w:type="dxa"/>
            <w:vAlign w:val="center"/>
          </w:tcPr>
          <w:p>
            <w:pPr>
              <w:jc w:val="center"/>
              <w:rPr>
                <w:rFonts w:hint="eastAsia" w:ascii="宋体" w:hAnsi="宋体" w:eastAsia="宋体" w:cs="宋体"/>
                <w:color w:val="auto"/>
                <w:kern w:val="0"/>
                <w:sz w:val="21"/>
                <w:szCs w:val="21"/>
                <w:highlight w:val="none"/>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核实签约</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情况</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药店必须诚实守法经营，</w:t>
            </w:r>
            <w:r>
              <w:rPr>
                <w:rFonts w:hint="eastAsia" w:ascii="宋体" w:hAnsi="宋体" w:eastAsia="宋体" w:cs="宋体"/>
                <w:color w:val="auto"/>
                <w:kern w:val="0"/>
                <w:sz w:val="21"/>
                <w:szCs w:val="21"/>
                <w:highlight w:val="none"/>
              </w:rPr>
              <w:t>在申请之日前</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eastAsia="zh-CN"/>
              </w:rPr>
              <w:t>内</w:t>
            </w:r>
            <w:r>
              <w:rPr>
                <w:rFonts w:hint="eastAsia" w:ascii="宋体" w:hAnsi="宋体" w:eastAsia="宋体" w:cs="宋体"/>
                <w:color w:val="auto"/>
                <w:sz w:val="21"/>
                <w:szCs w:val="21"/>
                <w:highlight w:val="none"/>
                <w:lang w:eastAsia="zh-CN"/>
              </w:rPr>
              <w:t>没有因违法违规经营被</w:t>
            </w:r>
            <w:r>
              <w:rPr>
                <w:rFonts w:hint="eastAsia" w:ascii="宋体" w:hAnsi="宋体" w:eastAsia="宋体" w:cs="宋体"/>
                <w:color w:val="auto"/>
                <w:kern w:val="0"/>
                <w:sz w:val="21"/>
                <w:szCs w:val="21"/>
                <w:highlight w:val="none"/>
              </w:rPr>
              <w:t>市场监</w:t>
            </w:r>
            <w:r>
              <w:rPr>
                <w:rFonts w:hint="eastAsia" w:ascii="宋体" w:hAnsi="宋体" w:cs="宋体"/>
                <w:color w:val="auto"/>
                <w:kern w:val="0"/>
                <w:sz w:val="21"/>
                <w:szCs w:val="21"/>
                <w:highlight w:val="none"/>
                <w:lang w:eastAsia="zh-CN"/>
              </w:rPr>
              <w:t>管</w:t>
            </w:r>
            <w:r>
              <w:rPr>
                <w:rFonts w:hint="eastAsia" w:ascii="宋体" w:hAnsi="宋体" w:eastAsia="宋体" w:cs="宋体"/>
                <w:color w:val="auto"/>
                <w:kern w:val="0"/>
                <w:sz w:val="21"/>
                <w:szCs w:val="21"/>
                <w:highlight w:val="none"/>
              </w:rPr>
              <w:t>局、医保局</w:t>
            </w:r>
            <w:r>
              <w:rPr>
                <w:rFonts w:hint="eastAsia" w:ascii="宋体" w:hAnsi="宋体" w:eastAsia="宋体" w:cs="宋体"/>
                <w:color w:val="auto"/>
                <w:sz w:val="21"/>
                <w:szCs w:val="21"/>
                <w:highlight w:val="none"/>
                <w:lang w:eastAsia="zh-CN"/>
              </w:rPr>
              <w:t>作出含警告以上行政处罚。</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申请药店（含连锁总部或集团总部）3年内受过处理的不通过。提供“信用中国”相关截图说明。</w:t>
            </w:r>
          </w:p>
        </w:tc>
        <w:tc>
          <w:tcPr>
            <w:tcW w:w="1276" w:type="dxa"/>
            <w:vAlign w:val="center"/>
          </w:tcPr>
          <w:p>
            <w:pPr>
              <w:jc w:val="center"/>
              <w:rPr>
                <w:rFonts w:hint="eastAsia" w:ascii="宋体" w:hAnsi="宋体" w:eastAsia="宋体" w:cs="宋体"/>
                <w:color w:val="auto"/>
                <w:kern w:val="0"/>
                <w:sz w:val="21"/>
                <w:szCs w:val="21"/>
                <w:highlight w:val="none"/>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遵守《中华人民共和国药品管理法》及有关法律法规，有健全和完善的管理制度。</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不可或缺项，缺项则不通过。</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药品管理、信息系统管理、医保基金内控内审制度、药品不良反应应急预案和处理流程、药品召回制度。</w:t>
            </w:r>
          </w:p>
        </w:tc>
        <w:tc>
          <w:tcPr>
            <w:tcW w:w="1276" w:type="dxa"/>
            <w:vAlign w:val="center"/>
          </w:tcPr>
          <w:p>
            <w:pPr>
              <w:jc w:val="center"/>
              <w:rPr>
                <w:rFonts w:hint="eastAsia" w:ascii="宋体" w:hAnsi="宋体" w:eastAsia="宋体" w:cs="宋体"/>
                <w:color w:val="auto"/>
                <w:kern w:val="0"/>
                <w:sz w:val="21"/>
                <w:szCs w:val="21"/>
                <w:highlight w:val="none"/>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具备可联网接入</w:t>
            </w:r>
            <w:r>
              <w:rPr>
                <w:rFonts w:hint="eastAsia" w:ascii="宋体" w:hAnsi="宋体" w:eastAsia="宋体" w:cs="宋体"/>
                <w:color w:val="auto"/>
                <w:kern w:val="0"/>
                <w:sz w:val="21"/>
                <w:szCs w:val="21"/>
                <w:highlight w:val="none"/>
                <w:lang w:eastAsia="zh-CN"/>
              </w:rPr>
              <w:t>全省电子处方流转中心</w:t>
            </w:r>
            <w:r>
              <w:rPr>
                <w:rFonts w:hint="eastAsia" w:ascii="宋体" w:hAnsi="宋体" w:eastAsia="宋体" w:cs="宋体"/>
                <w:color w:val="auto"/>
                <w:kern w:val="0"/>
                <w:sz w:val="21"/>
                <w:szCs w:val="21"/>
                <w:highlight w:val="none"/>
              </w:rPr>
              <w:t>的软、硬件条件，能确保</w:t>
            </w:r>
            <w:r>
              <w:rPr>
                <w:rFonts w:hint="eastAsia" w:ascii="宋体" w:hAnsi="宋体" w:eastAsia="宋体" w:cs="宋体"/>
                <w:color w:val="auto"/>
                <w:kern w:val="0"/>
                <w:sz w:val="21"/>
                <w:szCs w:val="21"/>
                <w:highlight w:val="none"/>
                <w:lang w:eastAsia="zh-CN"/>
              </w:rPr>
              <w:t>在国家医疗保障信息平台“一站式”结算</w:t>
            </w:r>
            <w:r>
              <w:rPr>
                <w:rFonts w:hint="eastAsia" w:ascii="宋体" w:hAnsi="宋体" w:eastAsia="宋体" w:cs="宋体"/>
                <w:color w:val="auto"/>
                <w:kern w:val="0"/>
                <w:sz w:val="21"/>
                <w:szCs w:val="21"/>
                <w:highlight w:val="none"/>
              </w:rPr>
              <w:t>，并能正确反映规定药品“进、销、存”情况。</w:t>
            </w:r>
          </w:p>
        </w:tc>
        <w:tc>
          <w:tcPr>
            <w:tcW w:w="3454" w:type="dxa"/>
            <w:vAlign w:val="center"/>
          </w:tcPr>
          <w:p>
            <w:p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没有接入国家医疗保障信息平台</w:t>
            </w:r>
            <w:r>
              <w:rPr>
                <w:rFonts w:hint="eastAsia" w:ascii="宋体" w:hAnsi="宋体" w:eastAsia="宋体" w:cs="宋体"/>
                <w:color w:val="auto"/>
                <w:kern w:val="0"/>
                <w:sz w:val="21"/>
                <w:szCs w:val="21"/>
                <w:highlight w:val="none"/>
              </w:rPr>
              <w:t>的不参与评定。药店全部药品的购、销、存数据可上传到广东省智慧药监系统。</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p>
        </w:tc>
        <w:tc>
          <w:tcPr>
            <w:tcW w:w="1417"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lang w:val="en-US" w:eastAsia="zh-CN"/>
              </w:rPr>
            </w:pPr>
          </w:p>
        </w:tc>
        <w:tc>
          <w:tcPr>
            <w:tcW w:w="759" w:type="dxa"/>
            <w:vAlign w:val="center"/>
          </w:tcPr>
          <w:p>
            <w:pPr>
              <w:jc w:val="center"/>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5</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具备药学服务信息系统，包括药品信息管理功能和患者信息管理功能。</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无药学服务系统的不参与</w:t>
            </w:r>
            <w:r>
              <w:rPr>
                <w:rFonts w:hint="eastAsia" w:ascii="宋体" w:hAnsi="宋体" w:cs="宋体"/>
                <w:color w:val="auto"/>
                <w:kern w:val="0"/>
                <w:sz w:val="21"/>
                <w:szCs w:val="21"/>
                <w:highlight w:val="none"/>
                <w:lang w:eastAsia="zh-CN"/>
              </w:rPr>
              <w:t>遴选</w:t>
            </w:r>
            <w:r>
              <w:rPr>
                <w:rFonts w:hint="eastAsia" w:ascii="宋体" w:hAnsi="宋体" w:eastAsia="宋体" w:cs="宋体"/>
                <w:color w:val="auto"/>
                <w:kern w:val="0"/>
                <w:sz w:val="21"/>
                <w:szCs w:val="21"/>
                <w:highlight w:val="none"/>
              </w:rPr>
              <w:t>。</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6</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药店或</w:t>
            </w:r>
            <w:r>
              <w:rPr>
                <w:rFonts w:hint="eastAsia" w:ascii="宋体" w:hAnsi="宋体" w:eastAsia="宋体" w:cs="宋体"/>
                <w:color w:val="auto"/>
                <w:kern w:val="0"/>
                <w:sz w:val="21"/>
                <w:szCs w:val="21"/>
                <w:highlight w:val="none"/>
              </w:rPr>
              <w:t>所属连锁总部（或集团总部）取得“双通道”管理药品目录内50%以上（含50%）品种。</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未取得50%</w:t>
            </w:r>
            <w:r>
              <w:rPr>
                <w:rFonts w:hint="eastAsia" w:ascii="宋体" w:hAnsi="宋体" w:cs="宋体"/>
                <w:color w:val="auto"/>
                <w:kern w:val="0"/>
                <w:sz w:val="21"/>
                <w:szCs w:val="21"/>
                <w:highlight w:val="none"/>
                <w:lang w:eastAsia="zh-CN"/>
              </w:rPr>
              <w:t>品种（生产厂家或经销商授权）</w:t>
            </w:r>
            <w:r>
              <w:rPr>
                <w:rFonts w:hint="eastAsia" w:ascii="宋体" w:hAnsi="宋体" w:eastAsia="宋体" w:cs="宋体"/>
                <w:color w:val="auto"/>
                <w:kern w:val="0"/>
                <w:sz w:val="21"/>
                <w:szCs w:val="21"/>
                <w:highlight w:val="none"/>
              </w:rPr>
              <w:t>的不参与</w:t>
            </w:r>
            <w:r>
              <w:rPr>
                <w:rFonts w:hint="eastAsia" w:ascii="宋体" w:hAnsi="宋体" w:cs="宋体"/>
                <w:color w:val="auto"/>
                <w:kern w:val="0"/>
                <w:sz w:val="21"/>
                <w:szCs w:val="21"/>
                <w:highlight w:val="none"/>
                <w:lang w:eastAsia="zh-CN"/>
              </w:rPr>
              <w:t>遴选</w:t>
            </w:r>
            <w:r>
              <w:rPr>
                <w:rFonts w:hint="eastAsia" w:ascii="宋体" w:hAnsi="宋体" w:eastAsia="宋体" w:cs="宋体"/>
                <w:color w:val="auto"/>
                <w:kern w:val="0"/>
                <w:sz w:val="21"/>
                <w:szCs w:val="21"/>
                <w:highlight w:val="none"/>
              </w:rPr>
              <w:t>。</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7</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经销场所具备符合冷链要求的储存区域设备及配送设备。</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无冷链储存的场所、设备及配送设备的不参与</w:t>
            </w:r>
            <w:r>
              <w:rPr>
                <w:rFonts w:hint="eastAsia" w:ascii="宋体" w:hAnsi="宋体" w:cs="宋体"/>
                <w:color w:val="auto"/>
                <w:kern w:val="0"/>
                <w:sz w:val="21"/>
                <w:szCs w:val="21"/>
                <w:highlight w:val="none"/>
                <w:lang w:eastAsia="zh-CN"/>
              </w:rPr>
              <w:t>遴选</w:t>
            </w:r>
            <w:r>
              <w:rPr>
                <w:rFonts w:hint="eastAsia" w:ascii="宋体" w:hAnsi="宋体" w:eastAsia="宋体" w:cs="宋体"/>
                <w:color w:val="auto"/>
                <w:kern w:val="0"/>
                <w:sz w:val="21"/>
                <w:szCs w:val="21"/>
                <w:highlight w:val="none"/>
              </w:rPr>
              <w:t>。</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8</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经营场所应至少配备2名执业药师并在岗提供药事服务。</w:t>
            </w:r>
          </w:p>
        </w:tc>
        <w:tc>
          <w:tcPr>
            <w:tcW w:w="3454" w:type="dxa"/>
            <w:vAlign w:val="center"/>
          </w:tcPr>
          <w:p>
            <w:p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无配备2名以上执业药师的不参与</w:t>
            </w:r>
            <w:r>
              <w:rPr>
                <w:rFonts w:hint="eastAsia" w:ascii="宋体" w:hAnsi="宋体" w:cs="宋体"/>
                <w:color w:val="auto"/>
                <w:kern w:val="0"/>
                <w:sz w:val="21"/>
                <w:szCs w:val="21"/>
                <w:highlight w:val="none"/>
                <w:lang w:eastAsia="zh-CN"/>
              </w:rPr>
              <w:t>遴选</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需提供药师在药店或连锁总部（或集团总部）的</w:t>
            </w:r>
            <w:r>
              <w:rPr>
                <w:rFonts w:hint="eastAsia" w:ascii="宋体" w:hAnsi="宋体" w:cs="宋体"/>
                <w:color w:val="auto"/>
                <w:kern w:val="0"/>
                <w:sz w:val="21"/>
                <w:szCs w:val="21"/>
                <w:highlight w:val="none"/>
                <w:lang w:eastAsia="zh-CN"/>
              </w:rPr>
              <w:t>社会保险参保缴费证明</w:t>
            </w:r>
            <w:r>
              <w:rPr>
                <w:rFonts w:hint="eastAsia" w:ascii="宋体" w:hAnsi="宋体" w:eastAsia="宋体" w:cs="宋体"/>
                <w:color w:val="auto"/>
                <w:kern w:val="0"/>
                <w:sz w:val="21"/>
                <w:szCs w:val="21"/>
                <w:highlight w:val="none"/>
              </w:rPr>
              <w:t>原件。至少2名在</w:t>
            </w:r>
            <w:r>
              <w:rPr>
                <w:rFonts w:hint="eastAsia" w:ascii="宋体" w:hAnsi="宋体" w:cs="宋体"/>
                <w:color w:val="auto"/>
                <w:kern w:val="0"/>
                <w:sz w:val="21"/>
                <w:szCs w:val="21"/>
                <w:highlight w:val="none"/>
                <w:lang w:eastAsia="zh-CN"/>
              </w:rPr>
              <w:t>该店实际工作的</w:t>
            </w:r>
            <w:r>
              <w:rPr>
                <w:rFonts w:hint="eastAsia" w:ascii="宋体" w:hAnsi="宋体" w:eastAsia="宋体" w:cs="宋体"/>
                <w:color w:val="auto"/>
                <w:kern w:val="0"/>
                <w:sz w:val="21"/>
                <w:szCs w:val="21"/>
                <w:highlight w:val="none"/>
              </w:rPr>
              <w:t>执业药师，参保缴费至少3个月。</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具备“双通道”管理药品目录相关品种经营资质</w:t>
            </w:r>
          </w:p>
        </w:tc>
        <w:tc>
          <w:tcPr>
            <w:tcW w:w="3454" w:type="dxa"/>
            <w:vAlign w:val="center"/>
          </w:tcPr>
          <w:p>
            <w:pPr>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具备</w:t>
            </w:r>
            <w:r>
              <w:rPr>
                <w:rFonts w:hint="eastAsia" w:ascii="宋体" w:hAnsi="宋体" w:eastAsia="宋体" w:cs="宋体"/>
                <w:color w:val="auto"/>
                <w:kern w:val="0"/>
                <w:sz w:val="21"/>
                <w:szCs w:val="21"/>
                <w:highlight w:val="none"/>
              </w:rPr>
              <w:t>注射剂、肿瘤治疗药、抗生素、生物制品</w:t>
            </w:r>
            <w:r>
              <w:rPr>
                <w:rFonts w:hint="eastAsia" w:ascii="宋体" w:hAnsi="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经营资质</w:t>
            </w:r>
            <w:r>
              <w:rPr>
                <w:rFonts w:hint="eastAsia" w:ascii="宋体" w:hAnsi="宋体" w:cs="宋体"/>
                <w:color w:val="auto"/>
                <w:kern w:val="0"/>
                <w:sz w:val="21"/>
                <w:szCs w:val="21"/>
                <w:highlight w:val="none"/>
                <w:lang w:eastAsia="zh-CN"/>
              </w:rPr>
              <w:t>。</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992" w:type="dxa"/>
            <w:vMerge w:val="restart"/>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w:t>
            </w:r>
          </w:p>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设施</w:t>
            </w:r>
          </w:p>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41分</w:t>
            </w:r>
            <w:r>
              <w:rPr>
                <w:rFonts w:hint="eastAsia" w:ascii="宋体" w:hAnsi="宋体" w:eastAsia="宋体" w:cs="宋体"/>
                <w:color w:val="auto"/>
                <w:sz w:val="21"/>
                <w:szCs w:val="21"/>
                <w:highlight w:val="none"/>
                <w:lang w:eastAsia="zh-CN"/>
              </w:rPr>
              <w:t>）</w:t>
            </w: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经营面积符合国家和我省有关管理规范，有相对独立的处方服务专区</w:t>
            </w:r>
            <w:r>
              <w:rPr>
                <w:rFonts w:hint="eastAsia" w:ascii="宋体" w:hAnsi="宋体" w:eastAsia="宋体" w:cs="宋体"/>
                <w:b w:val="0"/>
                <w:bCs w:val="0"/>
                <w:color w:val="auto"/>
                <w:sz w:val="21"/>
                <w:szCs w:val="21"/>
                <w:highlight w:val="none"/>
                <w:lang w:eastAsia="zh-CN"/>
              </w:rPr>
              <w:t>和拆零药品销售专区</w:t>
            </w:r>
            <w:r>
              <w:rPr>
                <w:rFonts w:hint="eastAsia" w:ascii="宋体" w:hAnsi="宋体" w:eastAsia="宋体" w:cs="宋体"/>
                <w:color w:val="auto"/>
                <w:sz w:val="21"/>
                <w:szCs w:val="21"/>
                <w:highlight w:val="none"/>
              </w:rPr>
              <w:t>，能满足</w:t>
            </w:r>
            <w:r>
              <w:rPr>
                <w:rFonts w:hint="eastAsia" w:ascii="宋体" w:hAnsi="宋体" w:eastAsia="宋体" w:cs="宋体"/>
                <w:b w:val="0"/>
                <w:bCs w:val="0"/>
                <w:color w:val="auto"/>
                <w:sz w:val="21"/>
                <w:szCs w:val="21"/>
                <w:highlight w:val="none"/>
                <w:lang w:eastAsia="zh-CN"/>
              </w:rPr>
              <w:t>药品拆零、</w:t>
            </w:r>
            <w:r>
              <w:rPr>
                <w:rFonts w:hint="eastAsia" w:ascii="宋体" w:hAnsi="宋体" w:eastAsia="宋体" w:cs="宋体"/>
                <w:color w:val="auto"/>
                <w:sz w:val="21"/>
                <w:szCs w:val="21"/>
                <w:highlight w:val="none"/>
              </w:rPr>
              <w:t>处方外配及群众取药需求。</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lang w:val="en-US" w:eastAsia="zh-CN"/>
              </w:rPr>
              <w:t>专区需独立设置，有清晰、醒目的专用标识，</w:t>
            </w:r>
            <w:r>
              <w:rPr>
                <w:rFonts w:hint="eastAsia" w:ascii="宋体" w:hAnsi="宋体" w:eastAsia="宋体" w:cs="宋体"/>
                <w:color w:val="auto"/>
                <w:kern w:val="0"/>
                <w:sz w:val="21"/>
                <w:szCs w:val="21"/>
                <w:highlight w:val="none"/>
              </w:rPr>
              <w:t>具备</w:t>
            </w:r>
            <w:r>
              <w:rPr>
                <w:rFonts w:hint="eastAsia" w:ascii="宋体" w:hAnsi="宋体" w:eastAsia="宋体" w:cs="宋体"/>
                <w:color w:val="auto"/>
                <w:sz w:val="21"/>
                <w:szCs w:val="21"/>
                <w:highlight w:val="none"/>
                <w:lang w:eastAsia="zh-CN"/>
              </w:rPr>
              <w:t>拆零销售所需要的调配工具、包装用品</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能满足药品拆零、处方调配及群众取药需求。</w:t>
            </w:r>
            <w:r>
              <w:rPr>
                <w:rFonts w:hint="eastAsia" w:ascii="宋体" w:hAnsi="宋体" w:eastAsia="宋体" w:cs="宋体"/>
                <w:color w:val="auto"/>
                <w:sz w:val="21"/>
                <w:szCs w:val="21"/>
                <w:highlight w:val="none"/>
                <w:lang w:eastAsia="zh-CN"/>
              </w:rPr>
              <w:t>该项全部满足要求的得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分，否则不得分</w:t>
            </w:r>
            <w:r>
              <w:rPr>
                <w:rFonts w:hint="eastAsia" w:ascii="宋体" w:hAnsi="宋体" w:eastAsia="宋体" w:cs="宋体"/>
                <w:color w:val="auto"/>
                <w:sz w:val="21"/>
                <w:szCs w:val="21"/>
                <w:highlight w:val="none"/>
                <w:lang w:eastAsia="zh-CN"/>
              </w:rPr>
              <w:t>。</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符合冷链要求的储存区域设备及配送设备</w:t>
            </w:r>
          </w:p>
        </w:tc>
        <w:tc>
          <w:tcPr>
            <w:tcW w:w="3454" w:type="dxa"/>
            <w:vAlign w:val="center"/>
          </w:tcPr>
          <w:p>
            <w:pPr>
              <w:numPr>
                <w:ilvl w:val="0"/>
                <w:numId w:val="5"/>
              </w:numPr>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具有与经营冷链药品规模相适应的储存设施设备，专业医用冰箱需要通过验证符合GSP附录验证管理要求的验证（需要确保冷链仓储设备质量满足GSP标准），保障药品2-8摄氏度保存，得</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分；</w:t>
            </w:r>
          </w:p>
          <w:p>
            <w:pPr>
              <w:numPr>
                <w:ilvl w:val="0"/>
                <w:numId w:val="5"/>
              </w:numPr>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可对陈列环境温度和储存环境温湿度实时有效监测和调控，记录可追溯，得3分。</w:t>
            </w:r>
          </w:p>
          <w:p>
            <w:pPr>
              <w:numPr>
                <w:ilvl w:val="-1"/>
                <w:numId w:val="0"/>
              </w:numPr>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备注：上述设备需要合格验证报告，否则不得分。</w:t>
            </w:r>
          </w:p>
        </w:tc>
        <w:tc>
          <w:tcPr>
            <w:tcW w:w="1276"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992" w:type="dxa"/>
            <w:vMerge w:val="continue"/>
            <w:vAlign w:val="center"/>
          </w:tcPr>
          <w:p>
            <w:pPr>
              <w:jc w:val="center"/>
              <w:rPr>
                <w:rFonts w:hint="eastAsia" w:ascii="宋体" w:hAnsi="宋体" w:eastAsia="宋体" w:cs="宋体"/>
                <w:color w:val="auto"/>
                <w:sz w:val="21"/>
                <w:szCs w:val="21"/>
                <w:highlight w:val="none"/>
                <w:lang w:eastAsia="zh-CN"/>
              </w:rPr>
            </w:pPr>
          </w:p>
        </w:tc>
        <w:tc>
          <w:tcPr>
            <w:tcW w:w="3208" w:type="dxa"/>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配备相应的防尘、防潮、防虫、防鼠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避光、通风等设施设备</w:t>
            </w:r>
            <w:r>
              <w:rPr>
                <w:rFonts w:hint="eastAsia" w:ascii="宋体" w:hAnsi="宋体" w:cs="宋体"/>
                <w:color w:val="auto"/>
                <w:sz w:val="21"/>
                <w:szCs w:val="21"/>
                <w:highlight w:val="none"/>
                <w:lang w:val="en-US" w:eastAsia="zh-CN"/>
              </w:rPr>
              <w:t>并能正常使用</w:t>
            </w:r>
            <w:r>
              <w:rPr>
                <w:rFonts w:hint="eastAsia" w:ascii="宋体" w:hAnsi="宋体" w:eastAsia="宋体" w:cs="宋体"/>
                <w:color w:val="auto"/>
                <w:sz w:val="21"/>
                <w:szCs w:val="21"/>
                <w:highlight w:val="none"/>
              </w:rPr>
              <w:t>。</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每缺一项扣</w:t>
            </w:r>
            <w:r>
              <w:rPr>
                <w:rFonts w:hint="eastAsia" w:ascii="宋体" w:hAnsi="宋体" w:eastAsia="宋体" w:cs="宋体"/>
                <w:color w:val="auto"/>
                <w:sz w:val="21"/>
                <w:szCs w:val="21"/>
                <w:highlight w:val="none"/>
                <w:lang w:val="en-US" w:eastAsia="zh-CN"/>
              </w:rPr>
              <w:t>1分，扣完为止。</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13</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药店应在营业店堂的显著位置悬挂药品经营许可证、营业执照、药学技术人员执业证明、服务公约、监督举报电话、顾客意见簿。</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每缺一项扣</w:t>
            </w:r>
            <w:r>
              <w:rPr>
                <w:rFonts w:hint="eastAsia" w:ascii="宋体" w:hAnsi="宋体" w:eastAsia="宋体" w:cs="宋体"/>
                <w:color w:val="auto"/>
                <w:sz w:val="21"/>
                <w:szCs w:val="21"/>
                <w:highlight w:val="none"/>
                <w:lang w:val="en-US" w:eastAsia="zh-CN"/>
              </w:rPr>
              <w:t>1分，扣完为止。</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14</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具有独立的患者等待服务设施、设备、区域，如饮水机和休息区。</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未设置休息区的扣</w:t>
            </w:r>
            <w:r>
              <w:rPr>
                <w:rFonts w:hint="eastAsia" w:ascii="宋体" w:hAnsi="宋体" w:eastAsia="宋体" w:cs="宋体"/>
                <w:color w:val="auto"/>
                <w:sz w:val="21"/>
                <w:szCs w:val="21"/>
                <w:highlight w:val="none"/>
                <w:lang w:val="en-US" w:eastAsia="zh-CN"/>
              </w:rPr>
              <w:t>1分，没有</w:t>
            </w:r>
            <w:r>
              <w:rPr>
                <w:rFonts w:hint="eastAsia" w:ascii="宋体" w:hAnsi="宋体" w:eastAsia="宋体" w:cs="宋体"/>
                <w:color w:val="auto"/>
                <w:sz w:val="21"/>
                <w:szCs w:val="21"/>
                <w:highlight w:val="none"/>
                <w:lang w:eastAsia="zh-CN"/>
              </w:rPr>
              <w:t>饮水机等设施设备的扣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lang w:eastAsia="zh-CN"/>
              </w:rPr>
              <w:t>。</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15</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具备药学服务信息系统，包括药品信息管理功能和患者信息管理功能。</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（1）查看药品信息管理功能，至少包括:药品基本信息管理、药品资料查询、相互作用查询、用药安全信息查询、用药指导和用药咨询记录等；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（2）查看患者信息管理功能，至少包括：患者相关基本信息、疾病相关信息、用药情况记录、用药评估与干预过程、回访记录等药历内容；</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（3）具有保护患者信息安全的措施（如不同访问权限管理、操作者身份信息）。</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以上3点都满足为优，得6分；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满足2点为良，得4分；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满足1点，得2分。</w:t>
            </w:r>
          </w:p>
        </w:tc>
        <w:tc>
          <w:tcPr>
            <w:tcW w:w="1276"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16</w:t>
            </w:r>
          </w:p>
        </w:tc>
        <w:tc>
          <w:tcPr>
            <w:tcW w:w="992" w:type="dxa"/>
            <w:vMerge w:val="continue"/>
            <w:vAlign w:val="center"/>
          </w:tcPr>
          <w:p>
            <w:pPr>
              <w:jc w:val="center"/>
              <w:rPr>
                <w:rFonts w:hint="eastAsia" w:ascii="宋体" w:hAnsi="宋体" w:eastAsia="宋体" w:cs="宋体"/>
                <w:color w:val="auto"/>
                <w:kern w:val="0"/>
                <w:sz w:val="21"/>
                <w:szCs w:val="21"/>
                <w:highlight w:val="none"/>
                <w:lang w:eastAsia="zh-CN"/>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具备药品信息与医保信息系统实时传输，实现电子追溯等条件。</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满足对所售药品已实现电子追溯等条件，可实现患者与药店直接结算。</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系统可实现处方、交易、配送全程可追溯，实现信息流、资金流、物流全程可监控。</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可通过药店系统查询到药品（包括平台销售的药品、处方药等法律法规要求登记的药品）销售去向的得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分；仅可查询药品的购进情况的得</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17</w:t>
            </w:r>
          </w:p>
        </w:tc>
        <w:tc>
          <w:tcPr>
            <w:tcW w:w="992" w:type="dxa"/>
            <w:vMerge w:val="continue"/>
            <w:vAlign w:val="center"/>
          </w:tcPr>
          <w:p>
            <w:pPr>
              <w:jc w:val="center"/>
              <w:rPr>
                <w:rFonts w:hint="eastAsia" w:ascii="宋体" w:hAnsi="宋体" w:eastAsia="宋体" w:cs="宋体"/>
                <w:color w:val="auto"/>
                <w:kern w:val="0"/>
                <w:sz w:val="21"/>
                <w:szCs w:val="21"/>
                <w:highlight w:val="none"/>
                <w:lang w:eastAsia="zh-CN"/>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所属的连锁总部或集团总部(</w:t>
            </w:r>
            <w:r>
              <w:rPr>
                <w:rFonts w:hint="eastAsia" w:ascii="宋体" w:hAnsi="宋体" w:cs="宋体"/>
                <w:color w:val="auto"/>
                <w:kern w:val="0"/>
                <w:sz w:val="21"/>
                <w:szCs w:val="21"/>
                <w:highlight w:val="none"/>
                <w:lang w:eastAsia="zh-CN"/>
              </w:rPr>
              <w:t>含</w:t>
            </w:r>
            <w:r>
              <w:rPr>
                <w:rFonts w:hint="eastAsia" w:ascii="宋体" w:hAnsi="宋体" w:eastAsia="宋体" w:cs="宋体"/>
                <w:color w:val="auto"/>
                <w:kern w:val="0"/>
                <w:sz w:val="21"/>
                <w:szCs w:val="21"/>
                <w:highlight w:val="none"/>
              </w:rPr>
              <w:t>所属集团内各控股公司）自有药品物流配送中心。</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物流配送中心：</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w:t>
            </w:r>
            <w:r>
              <w:rPr>
                <w:rFonts w:hint="eastAsia" w:ascii="宋体" w:hAnsi="宋体" w:eastAsia="宋体" w:cs="宋体"/>
                <w:color w:val="auto"/>
                <w:kern w:val="0"/>
                <w:sz w:val="21"/>
                <w:szCs w:val="21"/>
                <w:highlight w:val="none"/>
                <w:lang w:eastAsia="zh-CN"/>
              </w:rPr>
              <w:t>中山</w:t>
            </w:r>
            <w:r>
              <w:rPr>
                <w:rFonts w:hint="eastAsia" w:ascii="宋体" w:hAnsi="宋体" w:eastAsia="宋体" w:cs="宋体"/>
                <w:color w:val="auto"/>
                <w:kern w:val="0"/>
                <w:sz w:val="21"/>
                <w:szCs w:val="21"/>
                <w:highlight w:val="none"/>
              </w:rPr>
              <w:t>市行政区域内的，得5分；</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（2）在广东省内的，得3分；</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（3）在广东省外，不得分。</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5</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18</w:t>
            </w:r>
          </w:p>
        </w:tc>
        <w:tc>
          <w:tcPr>
            <w:tcW w:w="992" w:type="dxa"/>
            <w:vMerge w:val="restart"/>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服务</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能力</w:t>
            </w:r>
          </w:p>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39分</w:t>
            </w:r>
            <w:r>
              <w:rPr>
                <w:rFonts w:hint="eastAsia" w:ascii="宋体" w:hAnsi="宋体" w:eastAsia="宋体" w:cs="宋体"/>
                <w:color w:val="auto"/>
                <w:kern w:val="0"/>
                <w:sz w:val="21"/>
                <w:szCs w:val="21"/>
                <w:highlight w:val="none"/>
                <w:lang w:eastAsia="zh-CN"/>
              </w:rPr>
              <w:t>）</w:t>
            </w: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申请药店（含所属连锁总部或集团总部</w:t>
            </w:r>
            <w:r>
              <w:rPr>
                <w:rFonts w:hint="eastAsia" w:ascii="宋体" w:hAnsi="宋体" w:cs="宋体"/>
                <w:color w:val="auto"/>
                <w:kern w:val="0"/>
                <w:sz w:val="21"/>
                <w:szCs w:val="21"/>
                <w:highlight w:val="none"/>
                <w:lang w:eastAsia="zh-CN"/>
              </w:rPr>
              <w:t>，只追溯到广东省范围内</w:t>
            </w:r>
            <w:r>
              <w:rPr>
                <w:rFonts w:hint="eastAsia" w:ascii="宋体" w:hAnsi="宋体" w:eastAsia="宋体" w:cs="宋体"/>
                <w:color w:val="auto"/>
                <w:kern w:val="0"/>
                <w:sz w:val="21"/>
                <w:szCs w:val="21"/>
                <w:highlight w:val="none"/>
              </w:rPr>
              <w:t>）取得“双通道”药品目录内50%以上（含50%）品种。</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申请药店（含所属连锁总部或集团总部）在</w:t>
            </w:r>
            <w:r>
              <w:rPr>
                <w:rFonts w:hint="eastAsia" w:ascii="宋体" w:hAnsi="宋体" w:cs="宋体"/>
                <w:color w:val="auto"/>
                <w:kern w:val="0"/>
                <w:sz w:val="21"/>
                <w:szCs w:val="21"/>
                <w:highlight w:val="none"/>
                <w:lang w:val="en-US" w:eastAsia="zh-CN"/>
              </w:rPr>
              <w:t>申请递交</w:t>
            </w:r>
            <w:r>
              <w:rPr>
                <w:rFonts w:hint="eastAsia" w:ascii="宋体" w:hAnsi="宋体" w:eastAsia="宋体" w:cs="宋体"/>
                <w:color w:val="auto"/>
                <w:kern w:val="0"/>
                <w:sz w:val="21"/>
                <w:szCs w:val="21"/>
                <w:highlight w:val="none"/>
              </w:rPr>
              <w:t>日取得“双通道”管理药品目录内药品的生产厂家或经销商授权证明材料（以通用名计），包括生产企业开具的书面证明或合同、协议书等。</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已取得生产厂家</w:t>
            </w:r>
            <w:r>
              <w:rPr>
                <w:rFonts w:hint="eastAsia" w:ascii="宋体" w:hAnsi="宋体" w:cs="宋体"/>
                <w:color w:val="auto"/>
                <w:kern w:val="0"/>
                <w:sz w:val="21"/>
                <w:szCs w:val="21"/>
                <w:highlight w:val="none"/>
                <w:lang w:eastAsia="zh-CN"/>
              </w:rPr>
              <w:t>或经销商的授权</w:t>
            </w:r>
            <w:r>
              <w:rPr>
                <w:rFonts w:hint="eastAsia" w:ascii="宋体" w:hAnsi="宋体" w:eastAsia="宋体" w:cs="宋体"/>
                <w:color w:val="auto"/>
                <w:kern w:val="0"/>
                <w:sz w:val="21"/>
                <w:szCs w:val="21"/>
                <w:highlight w:val="none"/>
              </w:rPr>
              <w:t>种类数量达</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（1）X≥</w:t>
            </w:r>
            <w:r>
              <w:rPr>
                <w:rFonts w:hint="eastAsia" w:ascii="宋体" w:hAnsi="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%，得10分；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55</w:t>
            </w:r>
            <w:r>
              <w:rPr>
                <w:rFonts w:hint="eastAsia" w:ascii="宋体" w:hAnsi="宋体" w:eastAsia="宋体" w:cs="宋体"/>
                <w:color w:val="auto"/>
                <w:kern w:val="0"/>
                <w:sz w:val="21"/>
                <w:szCs w:val="21"/>
                <w:highlight w:val="none"/>
              </w:rPr>
              <w:t>%≤X＜</w:t>
            </w:r>
            <w:r>
              <w:rPr>
                <w:rFonts w:hint="eastAsia" w:ascii="宋体" w:hAnsi="宋体" w:cs="宋体"/>
                <w:color w:val="auto"/>
                <w:kern w:val="0"/>
                <w:sz w:val="21"/>
                <w:szCs w:val="21"/>
                <w:highlight w:val="none"/>
                <w:lang w:val="en-US" w:eastAsia="zh-CN"/>
              </w:rPr>
              <w:t>60</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）50%≤X＜</w:t>
            </w:r>
            <w:r>
              <w:rPr>
                <w:rFonts w:hint="eastAsia" w:ascii="宋体" w:hAnsi="宋体" w:cs="宋体"/>
                <w:color w:val="auto"/>
                <w:kern w:val="0"/>
                <w:sz w:val="21"/>
                <w:szCs w:val="21"/>
                <w:highlight w:val="none"/>
                <w:lang w:eastAsia="zh-CN"/>
              </w:rPr>
              <w:t>5</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1276"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19</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rPr>
              <w:t>申请药店</w:t>
            </w:r>
            <w:r>
              <w:rPr>
                <w:rFonts w:hint="eastAsia" w:ascii="宋体" w:hAnsi="宋体" w:eastAsia="宋体" w:cs="宋体"/>
                <w:color w:val="auto"/>
                <w:kern w:val="0"/>
                <w:sz w:val="21"/>
                <w:szCs w:val="21"/>
                <w:highlight w:val="none"/>
              </w:rPr>
              <w:t>所属的连锁总部（或集团总部）注册资金。</w:t>
            </w:r>
            <w:r>
              <w:rPr>
                <w:rFonts w:hint="eastAsia" w:ascii="宋体" w:hAnsi="宋体" w:eastAsia="宋体" w:cs="宋体"/>
                <w:color w:val="auto"/>
                <w:kern w:val="0"/>
                <w:sz w:val="21"/>
                <w:szCs w:val="21"/>
                <w:highlight w:val="none"/>
                <w:lang w:eastAsia="zh-CN"/>
              </w:rPr>
              <w:t>（仅追溯到上一级连锁机构</w:t>
            </w:r>
            <w:r>
              <w:rPr>
                <w:rFonts w:hint="eastAsia" w:ascii="宋体" w:hAnsi="宋体" w:cs="宋体"/>
                <w:color w:val="auto"/>
                <w:kern w:val="0"/>
                <w:sz w:val="21"/>
                <w:szCs w:val="21"/>
                <w:highlight w:val="none"/>
                <w:lang w:eastAsia="zh-CN"/>
              </w:rPr>
              <w:t>或控股单位</w:t>
            </w:r>
            <w:r>
              <w:rPr>
                <w:rFonts w:hint="eastAsia" w:ascii="宋体" w:hAnsi="宋体" w:eastAsia="宋体" w:cs="宋体"/>
                <w:color w:val="auto"/>
                <w:kern w:val="0"/>
                <w:sz w:val="21"/>
                <w:szCs w:val="21"/>
                <w:highlight w:val="none"/>
                <w:lang w:eastAsia="zh-CN"/>
              </w:rPr>
              <w:t>）</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不可临时增加注册资金。（公告发布之日前30个工作日内）</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注册资金</w:t>
            </w:r>
            <w:r>
              <w:rPr>
                <w:rFonts w:hint="eastAsia" w:ascii="宋体" w:hAnsi="宋体" w:eastAsia="宋体" w:cs="宋体"/>
                <w:color w:val="auto"/>
                <w:kern w:val="0"/>
                <w:sz w:val="21"/>
                <w:szCs w:val="21"/>
                <w:highlight w:val="none"/>
                <w:lang w:eastAsia="zh-CN"/>
              </w:rPr>
              <w:t>按从高到低排序，第一名得</w:t>
            </w:r>
            <w:r>
              <w:rPr>
                <w:rFonts w:hint="eastAsia" w:ascii="宋体" w:hAnsi="宋体" w:eastAsia="宋体" w:cs="宋体"/>
                <w:color w:val="auto"/>
                <w:kern w:val="0"/>
                <w:sz w:val="21"/>
                <w:szCs w:val="21"/>
                <w:highlight w:val="none"/>
                <w:lang w:val="en-US" w:eastAsia="zh-CN"/>
              </w:rPr>
              <w:t>5分，第二名4分，第三名3分，第四名2分，</w:t>
            </w:r>
            <w:r>
              <w:rPr>
                <w:rFonts w:hint="eastAsia" w:ascii="宋体" w:hAnsi="宋体" w:eastAsia="宋体" w:cs="宋体"/>
                <w:color w:val="auto"/>
                <w:kern w:val="0"/>
                <w:sz w:val="21"/>
                <w:szCs w:val="21"/>
                <w:highlight w:val="none"/>
              </w:rPr>
              <w:t>其余1分。</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具备完善的冷链管理储存制度。</w:t>
            </w:r>
          </w:p>
        </w:tc>
        <w:tc>
          <w:tcPr>
            <w:tcW w:w="3454" w:type="dxa"/>
            <w:vAlign w:val="center"/>
          </w:tcPr>
          <w:p>
            <w:pPr>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冷链药品相关管理制度与标准操作规程：收货及验收管理；储存管理；零售包装、发运；设施设备验证管理。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（1）冷链药品验收规定、流程、及异常问题处理；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（2）冷链药品储存、温湿度实时监控设备、温湿度记录数据采集、保存和异常情况处理规定；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（3）冷链药品包装、发运以及冷链便携包的使用；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（4）冷链设施设备验证的管理规定；</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（5）</w:t>
            </w:r>
            <w:r>
              <w:rPr>
                <w:rFonts w:hint="eastAsia" w:ascii="宋体" w:hAnsi="宋体" w:cs="宋体"/>
                <w:color w:val="auto"/>
                <w:kern w:val="0"/>
                <w:sz w:val="21"/>
                <w:szCs w:val="21"/>
                <w:highlight w:val="none"/>
                <w:lang w:eastAsia="zh-CN"/>
              </w:rPr>
              <w:t>冰排管理制度；</w:t>
            </w:r>
          </w:p>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）每缺一项扣2分，扣完为止。描述欠清晰的酌情扣1-2分，无异常情况处理内容扣2分。未制定，不得分。</w:t>
            </w:r>
          </w:p>
        </w:tc>
        <w:tc>
          <w:tcPr>
            <w:tcW w:w="1276" w:type="dxa"/>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8</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申请药店具备冷链药品配送服务能力。</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查看近1个月冷链药品</w:t>
            </w:r>
            <w:r>
              <w:rPr>
                <w:rFonts w:hint="eastAsia" w:ascii="宋体" w:hAnsi="宋体" w:cs="宋体"/>
                <w:color w:val="auto"/>
                <w:kern w:val="0"/>
                <w:sz w:val="21"/>
                <w:szCs w:val="21"/>
                <w:highlight w:val="none"/>
                <w:lang w:eastAsia="zh-CN"/>
              </w:rPr>
              <w:t>从</w:t>
            </w:r>
            <w:r>
              <w:rPr>
                <w:rFonts w:hint="eastAsia" w:ascii="宋体" w:hAnsi="宋体" w:cs="宋体"/>
                <w:color w:val="auto"/>
                <w:kern w:val="0"/>
                <w:sz w:val="21"/>
                <w:szCs w:val="21"/>
                <w:highlight w:val="none"/>
                <w:lang w:val="en-US" w:eastAsia="zh-CN"/>
              </w:rPr>
              <w:t>门店到顾客的</w:t>
            </w:r>
            <w:r>
              <w:rPr>
                <w:rFonts w:hint="eastAsia" w:ascii="宋体" w:hAnsi="宋体" w:eastAsia="宋体" w:cs="宋体"/>
                <w:color w:val="auto"/>
                <w:kern w:val="0"/>
                <w:sz w:val="21"/>
                <w:szCs w:val="21"/>
                <w:highlight w:val="none"/>
              </w:rPr>
              <w:t>送货与接收记录。</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提供冷链药品配送签收资料。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（1）近1个月冷链药品送货次数超过10次，得</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（2）其余得3分；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（3）近1个月无冷链药品送货记录的，或资料提供不全的，不得分。</w:t>
            </w:r>
          </w:p>
        </w:tc>
        <w:tc>
          <w:tcPr>
            <w:tcW w:w="1276" w:type="dxa"/>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22</w:t>
            </w:r>
          </w:p>
        </w:tc>
        <w:tc>
          <w:tcPr>
            <w:tcW w:w="992" w:type="dxa"/>
            <w:vMerge w:val="continue"/>
            <w:vAlign w:val="center"/>
          </w:tcPr>
          <w:p>
            <w:pPr>
              <w:jc w:val="center"/>
              <w:rPr>
                <w:rFonts w:hint="eastAsia" w:ascii="宋体" w:hAnsi="宋体" w:eastAsia="宋体" w:cs="宋体"/>
                <w:color w:val="auto"/>
                <w:kern w:val="0"/>
                <w:sz w:val="21"/>
                <w:szCs w:val="21"/>
                <w:highlight w:val="none"/>
                <w:lang w:eastAsia="zh-CN"/>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具备应对</w:t>
            </w:r>
            <w:r>
              <w:rPr>
                <w:rFonts w:hint="eastAsia" w:ascii="宋体" w:hAnsi="宋体" w:eastAsia="宋体" w:cs="宋体"/>
                <w:color w:val="auto"/>
                <w:kern w:val="0"/>
                <w:sz w:val="21"/>
                <w:szCs w:val="21"/>
                <w:highlight w:val="none"/>
              </w:rPr>
              <w:t>台风、暴雨</w:t>
            </w:r>
            <w:r>
              <w:rPr>
                <w:rFonts w:hint="eastAsia" w:ascii="宋体" w:hAnsi="宋体" w:cs="宋体"/>
                <w:color w:val="auto"/>
                <w:kern w:val="0"/>
                <w:sz w:val="21"/>
                <w:szCs w:val="21"/>
                <w:highlight w:val="none"/>
                <w:lang w:eastAsia="zh-CN"/>
              </w:rPr>
              <w:t>等</w:t>
            </w:r>
            <w:r>
              <w:rPr>
                <w:rFonts w:hint="eastAsia" w:ascii="宋体" w:hAnsi="宋体" w:eastAsia="宋体" w:cs="宋体"/>
                <w:color w:val="auto"/>
                <w:kern w:val="0"/>
                <w:sz w:val="21"/>
                <w:szCs w:val="21"/>
                <w:highlight w:val="none"/>
              </w:rPr>
              <w:t>突发事件的应急处置方案</w:t>
            </w:r>
            <w:r>
              <w:rPr>
                <w:rFonts w:hint="eastAsia" w:ascii="宋体" w:hAnsi="宋体" w:cs="宋体"/>
                <w:color w:val="auto"/>
                <w:kern w:val="0"/>
                <w:sz w:val="21"/>
                <w:szCs w:val="21"/>
                <w:highlight w:val="none"/>
                <w:lang w:eastAsia="zh-CN"/>
              </w:rPr>
              <w:t>。</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没有</w:t>
            </w:r>
            <w:r>
              <w:rPr>
                <w:rFonts w:hint="eastAsia" w:ascii="宋体" w:hAnsi="宋体" w:eastAsia="宋体" w:cs="宋体"/>
                <w:color w:val="auto"/>
                <w:kern w:val="0"/>
                <w:sz w:val="21"/>
                <w:szCs w:val="21"/>
                <w:highlight w:val="none"/>
              </w:rPr>
              <w:t>突发事件应急处置方案</w:t>
            </w:r>
            <w:r>
              <w:rPr>
                <w:rFonts w:hint="eastAsia" w:ascii="宋体" w:hAnsi="宋体" w:cs="宋体"/>
                <w:color w:val="auto"/>
                <w:kern w:val="0"/>
                <w:sz w:val="21"/>
                <w:szCs w:val="21"/>
                <w:highlight w:val="none"/>
                <w:lang w:eastAsia="zh-CN"/>
              </w:rPr>
              <w:t>的，不得分。</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23</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申请药店与定点医疗机构的距离。</w:t>
            </w:r>
          </w:p>
        </w:tc>
        <w:tc>
          <w:tcPr>
            <w:tcW w:w="3454" w:type="dxa"/>
            <w:vAlign w:val="center"/>
          </w:tcPr>
          <w:p>
            <w:pPr>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查看申请药店与“双通道”医疗机构的导航地图截图。</w:t>
            </w:r>
          </w:p>
          <w:p>
            <w:pPr>
              <w:numPr>
                <w:ilvl w:val="0"/>
                <w:numId w:val="6"/>
              </w:num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步行距离0.5公里之内的得4分；</w:t>
            </w:r>
          </w:p>
          <w:p>
            <w:pPr>
              <w:numPr>
                <w:ilvl w:val="0"/>
                <w:numId w:val="6"/>
              </w:num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步行距离1公里之内的得3分；</w:t>
            </w:r>
          </w:p>
          <w:p>
            <w:pPr>
              <w:numPr>
                <w:ilvl w:val="0"/>
                <w:numId w:val="6"/>
              </w:num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步行距离1.5公里之内的得2分；</w:t>
            </w:r>
          </w:p>
          <w:p>
            <w:pPr>
              <w:numPr>
                <w:ilvl w:val="0"/>
                <w:numId w:val="6"/>
              </w:numPr>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步行距离＞1.5公里的，不得分。</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24</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药店具有送药上门能力。</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药店具有满足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双通道</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药品配送上门的能力，不满足要求的，不得分。</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25</w:t>
            </w:r>
          </w:p>
        </w:tc>
        <w:tc>
          <w:tcPr>
            <w:tcW w:w="992" w:type="dxa"/>
            <w:vMerge w:val="restart"/>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配备</w:t>
            </w:r>
          </w:p>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18分</w:t>
            </w:r>
            <w:r>
              <w:rPr>
                <w:rFonts w:hint="eastAsia" w:ascii="宋体" w:hAnsi="宋体" w:eastAsia="宋体" w:cs="宋体"/>
                <w:color w:val="auto"/>
                <w:sz w:val="21"/>
                <w:szCs w:val="21"/>
                <w:highlight w:val="none"/>
                <w:lang w:eastAsia="zh-CN"/>
              </w:rPr>
              <w:t>）</w:t>
            </w: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rPr>
              <w:t>药店人员配置数量齐全，</w:t>
            </w:r>
            <w:r>
              <w:rPr>
                <w:rFonts w:hint="eastAsia" w:ascii="宋体" w:hAnsi="宋体" w:eastAsia="宋体" w:cs="宋体"/>
                <w:color w:val="auto"/>
                <w:kern w:val="2"/>
                <w:sz w:val="21"/>
                <w:szCs w:val="21"/>
                <w:highlight w:val="none"/>
                <w:lang w:eastAsia="zh-CN"/>
              </w:rPr>
              <w:t>处方审核、调配、核对人员应当符合要求。</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不满足要求的，不得分。</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确定名单后现场勘查</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26</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接触药品的人员应</w:t>
            </w:r>
            <w:r>
              <w:rPr>
                <w:rFonts w:hint="eastAsia" w:ascii="宋体" w:hAnsi="宋体" w:cs="宋体"/>
                <w:color w:val="auto"/>
                <w:sz w:val="21"/>
                <w:szCs w:val="21"/>
                <w:highlight w:val="none"/>
                <w:lang w:eastAsia="zh-CN"/>
              </w:rPr>
              <w:t>按规定</w:t>
            </w:r>
            <w:r>
              <w:rPr>
                <w:rFonts w:hint="eastAsia" w:ascii="宋体" w:hAnsi="宋体" w:eastAsia="宋体" w:cs="宋体"/>
                <w:color w:val="auto"/>
                <w:sz w:val="21"/>
                <w:szCs w:val="21"/>
                <w:highlight w:val="none"/>
              </w:rPr>
              <w:t>建立健康档案，发现患有传染病或者其他可能污染药品的疾病的，应调离岗位。</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eastAsia="zh-CN"/>
              </w:rPr>
              <w:t>每发现</w:t>
            </w:r>
            <w:r>
              <w:rPr>
                <w:rFonts w:hint="eastAsia" w:ascii="宋体" w:hAnsi="宋体" w:eastAsia="宋体" w:cs="宋体"/>
                <w:color w:val="auto"/>
                <w:sz w:val="21"/>
                <w:szCs w:val="21"/>
                <w:highlight w:val="none"/>
                <w:lang w:val="en-US" w:eastAsia="zh-CN"/>
              </w:rPr>
              <w:t>1名从业人员未能提供有效健康证明或未建立健康档案的扣1分，扣完为止。</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417" w:type="dxa"/>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w:t>
            </w:r>
            <w:r>
              <w:rPr>
                <w:rFonts w:hint="eastAsia" w:ascii="宋体" w:hAnsi="宋体" w:eastAsia="宋体" w:cs="宋体"/>
                <w:color w:val="auto"/>
                <w:kern w:val="0"/>
                <w:sz w:val="21"/>
                <w:szCs w:val="21"/>
                <w:highlight w:val="none"/>
                <w:lang w:eastAsia="zh-CN"/>
              </w:rPr>
              <w:t>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27</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药店工作人员应遵守处方管理制度和处方调配操作规程。</w:t>
            </w:r>
          </w:p>
        </w:tc>
        <w:tc>
          <w:tcPr>
            <w:tcW w:w="3454" w:type="dxa"/>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每发现一起未按要求销售处方药的扣</w:t>
            </w:r>
            <w:r>
              <w:rPr>
                <w:rFonts w:hint="eastAsia" w:ascii="宋体" w:hAnsi="宋体" w:eastAsia="宋体" w:cs="宋体"/>
                <w:color w:val="auto"/>
                <w:sz w:val="21"/>
                <w:szCs w:val="21"/>
                <w:highlight w:val="none"/>
                <w:lang w:val="en-US" w:eastAsia="zh-CN"/>
              </w:rPr>
              <w:t>1分，扣完为止。</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28</w:t>
            </w:r>
          </w:p>
        </w:tc>
        <w:tc>
          <w:tcPr>
            <w:tcW w:w="992" w:type="dxa"/>
            <w:vMerge w:val="continue"/>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药店人员应当熟悉药品质量管理法律法规，并接受市场监管部门、卫生健康部门药事管理法律法规和专业知识培训。</w:t>
            </w:r>
          </w:p>
        </w:tc>
        <w:tc>
          <w:tcPr>
            <w:tcW w:w="3454" w:type="dxa"/>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每发现</w:t>
            </w:r>
            <w:r>
              <w:rPr>
                <w:rFonts w:hint="eastAsia" w:ascii="宋体" w:hAnsi="宋体" w:eastAsia="宋体" w:cs="宋体"/>
                <w:color w:val="auto"/>
                <w:sz w:val="21"/>
                <w:szCs w:val="21"/>
                <w:highlight w:val="none"/>
                <w:lang w:val="en-US" w:eastAsia="zh-CN"/>
              </w:rPr>
              <w:t>1名从业人员不熟悉法律法规的扣1分，未按要求接受培训的扣1分，扣完为止。</w:t>
            </w:r>
          </w:p>
        </w:tc>
        <w:tc>
          <w:tcPr>
            <w:tcW w:w="1276"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88" w:type="dxa"/>
            <w:vAlign w:val="center"/>
          </w:tcPr>
          <w:p>
            <w:pPr>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29</w:t>
            </w:r>
          </w:p>
        </w:tc>
        <w:tc>
          <w:tcPr>
            <w:tcW w:w="992"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企业</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社会</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责任</w:t>
            </w:r>
          </w:p>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担当</w:t>
            </w:r>
          </w:p>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2分</w:t>
            </w:r>
            <w:r>
              <w:rPr>
                <w:rFonts w:hint="eastAsia" w:ascii="宋体" w:hAnsi="宋体" w:eastAsia="宋体" w:cs="宋体"/>
                <w:color w:val="auto"/>
                <w:kern w:val="0"/>
                <w:sz w:val="21"/>
                <w:szCs w:val="21"/>
                <w:highlight w:val="none"/>
                <w:lang w:eastAsia="zh-CN"/>
              </w:rPr>
              <w:t>）</w:t>
            </w:r>
          </w:p>
        </w:tc>
        <w:tc>
          <w:tcPr>
            <w:tcW w:w="3208"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单体药店、零售药店所属连锁总部（或集团总部）：</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1.在自然灾害、事故灾难及突发公共卫生事件中，通过捐赠款物或志愿服务等方式参加公益救助及帮扶项目情况；</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2.是否属于广东省省级或者</w:t>
            </w:r>
            <w:r>
              <w:rPr>
                <w:rFonts w:hint="eastAsia" w:ascii="宋体" w:hAnsi="宋体" w:eastAsia="宋体" w:cs="宋体"/>
                <w:color w:val="auto"/>
                <w:kern w:val="0"/>
                <w:sz w:val="21"/>
                <w:szCs w:val="21"/>
                <w:highlight w:val="none"/>
                <w:lang w:eastAsia="zh-CN"/>
              </w:rPr>
              <w:t>中山</w:t>
            </w:r>
            <w:r>
              <w:rPr>
                <w:rFonts w:hint="eastAsia" w:ascii="宋体" w:hAnsi="宋体" w:eastAsia="宋体" w:cs="宋体"/>
                <w:color w:val="auto"/>
                <w:kern w:val="0"/>
                <w:sz w:val="21"/>
                <w:szCs w:val="21"/>
                <w:highlight w:val="none"/>
              </w:rPr>
              <w:t>市市级短缺药品承储企业。</w:t>
            </w:r>
          </w:p>
        </w:tc>
        <w:tc>
          <w:tcPr>
            <w:tcW w:w="3454" w:type="dxa"/>
            <w:vAlign w:val="center"/>
          </w:tcPr>
          <w:p>
            <w:pP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1.每个公益救助帮扶项目得0.5分，总分不超过1分；</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2.属于广东省省级或者</w:t>
            </w:r>
            <w:r>
              <w:rPr>
                <w:rFonts w:hint="eastAsia" w:ascii="宋体" w:hAnsi="宋体" w:eastAsia="宋体" w:cs="宋体"/>
                <w:color w:val="auto"/>
                <w:kern w:val="0"/>
                <w:sz w:val="21"/>
                <w:szCs w:val="21"/>
                <w:highlight w:val="none"/>
                <w:lang w:eastAsia="zh-CN"/>
              </w:rPr>
              <w:t>中山</w:t>
            </w:r>
            <w:r>
              <w:rPr>
                <w:rFonts w:hint="eastAsia" w:ascii="宋体" w:hAnsi="宋体" w:eastAsia="宋体" w:cs="宋体"/>
                <w:color w:val="auto"/>
                <w:kern w:val="0"/>
                <w:sz w:val="21"/>
                <w:szCs w:val="21"/>
                <w:highlight w:val="none"/>
              </w:rPr>
              <w:t>市市级短缺药承储企业，得1分。</w:t>
            </w:r>
          </w:p>
        </w:tc>
        <w:tc>
          <w:tcPr>
            <w:tcW w:w="1276"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17"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查看资料</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确定名单后复核</w:t>
            </w: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88" w:type="dxa"/>
            <w:vAlign w:val="center"/>
          </w:tcPr>
          <w:p>
            <w:pPr>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合计</w:t>
            </w:r>
          </w:p>
        </w:tc>
        <w:tc>
          <w:tcPr>
            <w:tcW w:w="992" w:type="dxa"/>
            <w:vAlign w:val="center"/>
          </w:tcPr>
          <w:p>
            <w:pPr>
              <w:jc w:val="center"/>
              <w:rPr>
                <w:rFonts w:hint="eastAsia" w:ascii="宋体" w:hAnsi="宋体" w:eastAsia="宋体" w:cs="宋体"/>
                <w:color w:val="auto"/>
                <w:kern w:val="0"/>
                <w:sz w:val="21"/>
                <w:szCs w:val="21"/>
                <w:highlight w:val="none"/>
              </w:rPr>
            </w:pPr>
          </w:p>
        </w:tc>
        <w:tc>
          <w:tcPr>
            <w:tcW w:w="3208" w:type="dxa"/>
            <w:vAlign w:val="center"/>
          </w:tcPr>
          <w:p>
            <w:pPr>
              <w:jc w:val="left"/>
              <w:rPr>
                <w:rFonts w:hint="eastAsia" w:ascii="宋体" w:hAnsi="宋体" w:eastAsia="宋体" w:cs="宋体"/>
                <w:color w:val="auto"/>
                <w:kern w:val="0"/>
                <w:sz w:val="21"/>
                <w:szCs w:val="21"/>
                <w:highlight w:val="none"/>
              </w:rPr>
            </w:pPr>
          </w:p>
        </w:tc>
        <w:tc>
          <w:tcPr>
            <w:tcW w:w="3454" w:type="dxa"/>
            <w:vAlign w:val="center"/>
          </w:tcPr>
          <w:p>
            <w:pPr>
              <w:jc w:val="left"/>
              <w:rPr>
                <w:rFonts w:hint="eastAsia" w:ascii="宋体" w:hAnsi="宋体" w:eastAsia="宋体" w:cs="宋体"/>
                <w:color w:val="auto"/>
                <w:kern w:val="0"/>
                <w:sz w:val="21"/>
                <w:szCs w:val="21"/>
                <w:highlight w:val="none"/>
              </w:rPr>
            </w:pPr>
          </w:p>
        </w:tc>
        <w:tc>
          <w:tcPr>
            <w:tcW w:w="1276" w:type="dxa"/>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1417" w:type="dxa"/>
            <w:vAlign w:val="center"/>
          </w:tcPr>
          <w:p>
            <w:pPr>
              <w:jc w:val="center"/>
              <w:rPr>
                <w:rFonts w:hint="eastAsia" w:ascii="宋体" w:hAnsi="宋体" w:eastAsia="宋体" w:cs="宋体"/>
                <w:color w:val="auto"/>
                <w:kern w:val="0"/>
                <w:sz w:val="21"/>
                <w:szCs w:val="21"/>
                <w:highlight w:val="none"/>
              </w:rPr>
            </w:pPr>
          </w:p>
        </w:tc>
        <w:tc>
          <w:tcPr>
            <w:tcW w:w="1134" w:type="dxa"/>
            <w:vAlign w:val="center"/>
          </w:tcPr>
          <w:p>
            <w:pPr>
              <w:jc w:val="center"/>
              <w:rPr>
                <w:rFonts w:hint="eastAsia" w:ascii="宋体" w:hAnsi="宋体" w:eastAsia="宋体" w:cs="宋体"/>
                <w:color w:val="auto"/>
                <w:kern w:val="0"/>
                <w:sz w:val="21"/>
                <w:szCs w:val="21"/>
                <w:highlight w:val="none"/>
              </w:rPr>
            </w:pPr>
          </w:p>
        </w:tc>
        <w:tc>
          <w:tcPr>
            <w:tcW w:w="759" w:type="dxa"/>
            <w:vAlign w:val="center"/>
          </w:tcPr>
          <w:p>
            <w:pPr>
              <w:jc w:val="center"/>
              <w:rPr>
                <w:rFonts w:hint="eastAsia" w:ascii="宋体" w:hAnsi="宋体" w:eastAsia="宋体" w:cs="宋体"/>
                <w:color w:val="auto"/>
                <w:kern w:val="0"/>
                <w:sz w:val="21"/>
                <w:szCs w:val="21"/>
                <w:highlight w:val="none"/>
              </w:rPr>
            </w:pPr>
          </w:p>
        </w:tc>
      </w:tr>
    </w:tbl>
    <w:p>
      <w:pPr>
        <w:rPr>
          <w:rFonts w:ascii="宋体" w:hAnsi="宋体" w:cs="仿宋_GB2312"/>
          <w:color w:val="auto"/>
          <w:kern w:val="0"/>
          <w:szCs w:val="21"/>
          <w:highlight w:val="none"/>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color w:val="auto"/>
          <w:highlight w:val="none"/>
          <w:lang w:val="en-US" w:eastAsia="zh-CN"/>
        </w:rPr>
      </w:pPr>
    </w:p>
    <w:p/>
    <w:sectPr>
      <w:footerReference r:id="rId4" w:type="default"/>
      <w:pgSz w:w="16838" w:h="23811"/>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pPr>
        <w:ind w:left="0" w:firstLine="420"/>
      </w:pPr>
      <w:rPr>
        <w:rFonts w:hint="eastAsia"/>
      </w:rPr>
    </w:lvl>
  </w:abstractNum>
  <w:abstractNum w:abstractNumId="2">
    <w:nsid w:val="00000003"/>
    <w:multiLevelType w:val="singleLevel"/>
    <w:tmpl w:val="00000003"/>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5">
    <w:nsid w:val="00000007"/>
    <w:multiLevelType w:val="singleLevel"/>
    <w:tmpl w:val="00000007"/>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22D2C"/>
    <w:rsid w:val="6032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2021-11-18T10:22:00Z</dcterms:created>
  <dc:creator>Administrator</dc:creator>
  <cp:lastModifiedBy>Administrator</cp:lastModifiedBy>
  <dcterms:modified xsi:type="dcterms:W3CDTF">2021-11-18T10:23:43Z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2EFF19ADD5AB44D1803532AF14273198</vt:lpwstr>
  </property>
</Properties>
</file>