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50" w:afterLines="50" w:line="48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5"/>
        <w:spacing w:beforeLines="50" w:afterLines="50" w:line="480" w:lineRule="exact"/>
        <w:jc w:val="center"/>
        <w:rPr>
          <w:rFonts w:ascii="方正小标宋简体" w:hAnsi="黑体" w:eastAsia="方正小标宋简体" w:cs="Arial Unicode MS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Arial Unicode MS"/>
          <w:color w:val="auto"/>
          <w:sz w:val="44"/>
          <w:szCs w:val="44"/>
        </w:rPr>
        <w:t>中山市社会医疗保险定点医疗机构</w:t>
      </w:r>
    </w:p>
    <w:p>
      <w:pPr>
        <w:pStyle w:val="5"/>
        <w:spacing w:beforeLines="50" w:afterLines="50" w:line="480" w:lineRule="exact"/>
        <w:jc w:val="center"/>
        <w:rPr>
          <w:rFonts w:ascii="方正小标宋简体" w:hAnsi="黑体" w:eastAsia="方正小标宋简体" w:cs="Arial Unicode MS"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Arial Unicode MS"/>
          <w:color w:val="auto"/>
          <w:sz w:val="44"/>
          <w:szCs w:val="44"/>
        </w:rPr>
        <w:t>基准等级系数（2021年版）</w:t>
      </w:r>
    </w:p>
    <w:bookmarkEnd w:id="0"/>
    <w:tbl>
      <w:tblPr>
        <w:tblStyle w:val="4"/>
        <w:tblW w:w="90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5971"/>
        <w:gridCol w:w="12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定点医疗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机构等次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198"/>
              <w:jc w:val="center"/>
              <w:textAlignment w:val="center"/>
              <w:rPr>
                <w:rFonts w:ascii="黑体" w:hAnsi="黑体" w:eastAsia="黑体" w:cs="宋体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定点医疗机构名称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基准等级系数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三级甲等A综合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市人民医院、市中医院、市博爱医院、市第二人民医院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江门市中心医院、江门市五邑中医院、中山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积水潭骨科医院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三级甲等B综合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小榄人民医院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三级未定等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陈星海医院、火炬开发区医院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二级甲等A综合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黄圃人民医院、暨南大学附属顺德医院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二级甲等B综合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凤人民医院、东升医院、三乡医院、板芙医院、沙溪隆都医院、大涌医院、古镇医院、坦洲医院、同方康复医院、广济医院、横栏医院、西区医院、港口医院、南朗医院、爱达康康复医院、源田骨科医院、珠海上衝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二级专科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爱尔奥理德眼科医院、爱尔眼科医院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二级未定等综合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国丹中医院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一级甲等A综合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石岐苏华赞医院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一级甲等B综合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民众医院、阜沙医院、三角医院、神湾医院、南区医院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一级未定等综合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（含未定级）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和平中医院、协和医院、华晟医院、中糖医院、马新医院、南华医院、永宁卫生院、古镇海洲医院、郭门照骨科医院、同方医院、古海骨科医院、华都肛肠医院、百佳妇产医院、中仁医院、远大医院、宝元医院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社区中心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起湾社区卫生服务中心、海滨社区卫生服务中心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0.50</w:t>
            </w:r>
          </w:p>
        </w:tc>
      </w:tr>
    </w:tbl>
    <w:p>
      <w:pPr>
        <w:spacing w:line="600" w:lineRule="exact"/>
        <w:jc w:val="left"/>
      </w:pPr>
      <w:r>
        <w:rPr>
          <w:rFonts w:hint="eastAsia" w:ascii="仿宋_GB2312" w:hAnsi="仿宋_GB2312" w:eastAsia="仿宋_GB2312" w:cs="仿宋_GB2312"/>
          <w:snapToGrid w:val="0"/>
          <w:kern w:val="56"/>
          <w:sz w:val="28"/>
          <w:szCs w:val="28"/>
        </w:rPr>
        <w:t>备注：市第三人民医院和广东同华心理医院按同一住院床日费用分值结算。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D0115"/>
    <w:rsid w:val="39B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2021-01-26T07:45:00Z</dcterms:created>
  <dc:creator>aa</dc:creator>
  <cp:lastModifiedBy>aa</cp:lastModifiedBy>
  <dcterms:modified xsi:type="dcterms:W3CDTF">2021-01-26T07:46:36Z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