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right="0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pacing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right="0" w:rightChars="0"/>
        <w:jc w:val="center"/>
        <w:textAlignment w:val="auto"/>
        <w:outlineLvl w:val="9"/>
        <w:rPr>
          <w:rFonts w:hint="eastAsia" w:ascii="仿宋_GB2312" w:eastAsia="仿宋_GB2312" w:cs="Times New Roman"/>
          <w:i w:val="0"/>
          <w:caps w:val="0"/>
          <w:color w:val="000000"/>
          <w:spacing w:val="12"/>
          <w:sz w:val="32"/>
          <w:szCs w:val="32"/>
          <w:shd w:val="clear" w:color="auto" w:fill="auto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定点医疗机构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</w:t>
      </w:r>
      <w:r>
        <w:rPr>
          <w:rFonts w:hint="eastAsia" w:ascii="仿宋_GB2312" w:hAnsi="仿宋_GB2312" w:eastAsia="仿宋_GB2312" w:cs="仿宋_GB2312"/>
          <w:color w:val="000000"/>
          <w:spacing w:val="12"/>
          <w:sz w:val="32"/>
          <w:szCs w:val="32"/>
        </w:rPr>
        <w:t>变更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12"/>
          <w:sz w:val="32"/>
          <w:szCs w:val="32"/>
          <w:shd w:val="clear" w:color="auto" w:fill="auto"/>
          <w:lang w:eastAsia="zh-CN"/>
        </w:rPr>
        <w:t>情况</w:t>
      </w:r>
      <w:bookmarkEnd w:id="0"/>
    </w:p>
    <w:tbl>
      <w:tblPr>
        <w:tblStyle w:val="2"/>
        <w:tblpPr w:leftFromText="180" w:rightFromText="180" w:vertAnchor="text" w:horzAnchor="page" w:tblpX="1488" w:tblpY="550"/>
        <w:tblOverlap w:val="never"/>
        <w:tblW w:w="140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52"/>
        <w:gridCol w:w="5175"/>
        <w:gridCol w:w="53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</w:trPr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变更前地址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变更后地址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6" w:hRule="atLeast"/>
        </w:trPr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中山市人民医院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（中山大学附属中山医院）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中山市人民医院互联网医院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中山市孙文东路2号、中山市石岐区湖滨路73号、中山市太平路260-264号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中山市孙文东路2号、中山市石岐区湖滨路73号、中山市太平路260-264号、中山市市委市府大院信访大楼、中山市南朗镇南岐路南朗医院门诊大楼三楼A区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12FA0"/>
    <w:rsid w:val="2DA1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2020-10-10T08:59:00Z</dcterms:created>
  <dc:creator>aa</dc:creator>
  <cp:lastModifiedBy>aa</cp:lastModifiedBy>
  <dcterms:modified xsi:type="dcterms:W3CDTF">2020-10-10T08:59:45Z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